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0" w:line="276" w:lineRule="auto"/>
        <w:ind w:left="-2" w:hanging="2"/>
        <w:jc w:val="both"/>
        <w:rPr>
          <w:rFonts w:ascii="Arial" w:cs="Arial" w:eastAsia="Arial" w:hAnsi="Arial"/>
        </w:rPr>
      </w:pPr>
      <w:r w:rsidDel="00000000" w:rsidR="00000000" w:rsidRPr="00000000">
        <w:rPr>
          <w:rFonts w:ascii="Arial" w:cs="Arial" w:eastAsia="Arial" w:hAnsi="Arial"/>
          <w:b w:val="1"/>
          <w:smallCaps w:val="1"/>
          <w:rtl w:val="0"/>
        </w:rPr>
        <w:t xml:space="preserve">PROIECT: SERVICII DE PROMOVARE A 12 RUTE TURISTICE/CULTURALE ÎN CADRUL PROGRAMULUI „ROMÂNIA ATRACTIVĂ”</w:t>
      </w:r>
      <w:r w:rsidDel="00000000" w:rsidR="00000000" w:rsidRPr="00000000">
        <w:rPr>
          <w:rtl w:val="0"/>
        </w:rPr>
      </w:r>
    </w:p>
    <w:p w:rsidR="00000000" w:rsidDel="00000000" w:rsidP="00000000" w:rsidRDefault="00000000" w:rsidRPr="00000000" w14:paraId="00000002">
      <w:pPr>
        <w:spacing w:after="0" w:line="276"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03">
      <w:pPr>
        <w:spacing w:after="0" w:line="276" w:lineRule="auto"/>
        <w:ind w:left="-2" w:hanging="4.000000000000001"/>
        <w:jc w:val="both"/>
        <w:rPr>
          <w:rFonts w:ascii="Arial" w:cs="Arial" w:eastAsia="Arial" w:hAnsi="Arial"/>
          <w:b w:val="1"/>
          <w:color w:val="980000"/>
          <w:sz w:val="24"/>
          <w:szCs w:val="24"/>
        </w:rPr>
      </w:pPr>
      <w:r w:rsidDel="00000000" w:rsidR="00000000" w:rsidRPr="00000000">
        <w:rPr>
          <w:rFonts w:ascii="Arial" w:cs="Arial" w:eastAsia="Arial" w:hAnsi="Arial"/>
          <w:b w:val="1"/>
          <w:color w:val="980000"/>
          <w:sz w:val="28"/>
          <w:szCs w:val="28"/>
          <w:rtl w:val="0"/>
        </w:rPr>
        <w:t xml:space="preserve">RUTA 3 – RUTA CULELOR</w:t>
      </w:r>
      <w:r w:rsidDel="00000000" w:rsidR="00000000" w:rsidRPr="00000000">
        <w:rPr>
          <w:rtl w:val="0"/>
        </w:rPr>
      </w:r>
    </w:p>
    <w:p w:rsidR="00000000" w:rsidDel="00000000" w:rsidP="00000000" w:rsidRDefault="00000000" w:rsidRPr="00000000" w14:paraId="00000004">
      <w:pPr>
        <w:spacing w:after="0" w:line="276" w:lineRule="auto"/>
        <w:jc w:val="both"/>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005">
      <w:pPr>
        <w:spacing w:after="0" w:line="276" w:lineRule="auto"/>
        <w:ind w:left="-5" w:hanging="3.0000000000000004"/>
        <w:jc w:val="center"/>
        <w:rPr>
          <w:rFonts w:ascii="Arial" w:cs="Arial" w:eastAsia="Arial" w:hAnsi="Arial"/>
          <w:b w:val="1"/>
          <w:sz w:val="28"/>
          <w:szCs w:val="28"/>
          <w:highlight w:val="white"/>
        </w:rPr>
      </w:pPr>
      <w:r w:rsidDel="00000000" w:rsidR="00000000" w:rsidRPr="00000000">
        <w:rPr>
          <w:rtl w:val="0"/>
        </w:rPr>
      </w:r>
    </w:p>
    <w:p w:rsidR="00000000" w:rsidDel="00000000" w:rsidP="00000000" w:rsidRDefault="00000000" w:rsidRPr="00000000" w14:paraId="00000006">
      <w:pPr>
        <w:spacing w:after="0" w:line="276" w:lineRule="auto"/>
        <w:ind w:left="-5" w:hanging="3.0000000000000004"/>
        <w:jc w:val="center"/>
        <w:rPr>
          <w:rFonts w:ascii="Arial" w:cs="Arial" w:eastAsia="Arial" w:hAnsi="Arial"/>
          <w:sz w:val="28"/>
          <w:szCs w:val="28"/>
          <w:highlight w:val="white"/>
        </w:rPr>
      </w:pPr>
      <w:r w:rsidDel="00000000" w:rsidR="00000000" w:rsidRPr="00000000">
        <w:rPr>
          <w:rFonts w:ascii="Arial" w:cs="Arial" w:eastAsia="Arial" w:hAnsi="Arial"/>
          <w:b w:val="1"/>
          <w:color w:val="000000"/>
          <w:sz w:val="28"/>
          <w:szCs w:val="28"/>
          <w:highlight w:val="white"/>
          <w:rtl w:val="0"/>
        </w:rPr>
        <w:t xml:space="preserve">Text </w:t>
      </w:r>
      <w:r w:rsidDel="00000000" w:rsidR="00000000" w:rsidRPr="00000000">
        <w:rPr>
          <w:rFonts w:ascii="Arial" w:cs="Arial" w:eastAsia="Arial" w:hAnsi="Arial"/>
          <w:b w:val="1"/>
          <w:sz w:val="28"/>
          <w:szCs w:val="28"/>
          <w:highlight w:val="white"/>
          <w:rtl w:val="0"/>
        </w:rPr>
        <w:t xml:space="preserve">documentare</w:t>
      </w:r>
      <w:r w:rsidDel="00000000" w:rsidR="00000000" w:rsidRPr="00000000">
        <w:rPr>
          <w:rtl w:val="0"/>
        </w:rPr>
      </w:r>
    </w:p>
    <w:p w:rsidR="00000000" w:rsidDel="00000000" w:rsidP="00000000" w:rsidRDefault="00000000" w:rsidRPr="00000000" w14:paraId="00000007">
      <w:pPr>
        <w:spacing w:after="0" w:line="276" w:lineRule="auto"/>
        <w:ind w:left="-5" w:hanging="3.0000000000000004"/>
        <w:jc w:val="center"/>
        <w:rPr>
          <w:rFonts w:ascii="Arial" w:cs="Arial" w:eastAsia="Arial" w:hAnsi="Arial"/>
          <w:b w:val="1"/>
          <w:sz w:val="28"/>
          <w:szCs w:val="28"/>
        </w:rPr>
      </w:pPr>
      <w:r w:rsidDel="00000000" w:rsidR="00000000" w:rsidRPr="00000000">
        <w:rPr>
          <w:rFonts w:ascii="Arial" w:cs="Arial" w:eastAsia="Arial" w:hAnsi="Arial"/>
          <w:b w:val="1"/>
          <w:sz w:val="28"/>
          <w:szCs w:val="28"/>
          <w:highlight w:val="white"/>
          <w:rtl w:val="0"/>
        </w:rPr>
        <w:t xml:space="preserve">R3OB10 - </w:t>
      </w:r>
      <w:r w:rsidDel="00000000" w:rsidR="00000000" w:rsidRPr="00000000">
        <w:rPr>
          <w:rFonts w:ascii="Arial" w:cs="Arial" w:eastAsia="Arial" w:hAnsi="Arial"/>
          <w:b w:val="1"/>
          <w:sz w:val="28"/>
          <w:szCs w:val="28"/>
          <w:rtl w:val="0"/>
        </w:rPr>
        <w:t xml:space="preserve">Turnul de la Hotărani</w:t>
      </w:r>
    </w:p>
    <w:p w:rsidR="00000000" w:rsidDel="00000000" w:rsidP="00000000" w:rsidRDefault="00000000" w:rsidRPr="00000000" w14:paraId="00000008">
      <w:pPr>
        <w:spacing w:after="0" w:line="276"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09">
      <w:pPr>
        <w:spacing w:after="0" w:line="276" w:lineRule="auto"/>
        <w:jc w:val="both"/>
        <w:rPr>
          <w:rFonts w:ascii="Arial" w:cs="Arial" w:eastAsia="Arial" w:hAnsi="Arial"/>
          <w:b w:val="1"/>
          <w:sz w:val="24"/>
          <w:szCs w:val="24"/>
          <w:u w:val="single"/>
        </w:rPr>
      </w:pPr>
      <w:r w:rsidDel="00000000" w:rsidR="00000000" w:rsidRPr="00000000">
        <w:rPr>
          <w:rFonts w:ascii="Arial" w:cs="Arial" w:eastAsia="Arial" w:hAnsi="Arial"/>
          <w:b w:val="1"/>
          <w:sz w:val="24"/>
          <w:szCs w:val="24"/>
          <w:u w:val="single"/>
          <w:rtl w:val="0"/>
        </w:rPr>
        <w:t xml:space="preserve">Tema principală:</w:t>
      </w:r>
    </w:p>
    <w:p w:rsidR="00000000" w:rsidDel="00000000" w:rsidP="00000000" w:rsidRDefault="00000000" w:rsidRPr="00000000" w14:paraId="0000000A">
      <w:pPr>
        <w:spacing w:after="0" w:line="276" w:lineRule="auto"/>
        <w:ind w:firstLine="851"/>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    Ridicat cu scopul de a servi ca punct de observație și de veghe, turnul medieval de la Hotărani este un monument istoric ce impresionează prin masivitate și austeritatea plastică.</w:t>
      </w:r>
    </w:p>
    <w:p w:rsidR="00000000" w:rsidDel="00000000" w:rsidP="00000000" w:rsidRDefault="00000000" w:rsidRPr="00000000" w14:paraId="0000000B">
      <w:pPr>
        <w:spacing w:after="0" w:line="276" w:lineRule="auto"/>
        <w:jc w:val="both"/>
        <w:rPr>
          <w:rFonts w:ascii="Arial" w:cs="Arial" w:eastAsia="Arial" w:hAnsi="Arial"/>
          <w:sz w:val="16"/>
          <w:szCs w:val="16"/>
        </w:rPr>
      </w:pPr>
      <w:r w:rsidDel="00000000" w:rsidR="00000000" w:rsidRPr="00000000">
        <w:rPr>
          <w:rtl w:val="0"/>
        </w:rPr>
      </w:r>
    </w:p>
    <w:p w:rsidR="00000000" w:rsidDel="00000000" w:rsidP="00000000" w:rsidRDefault="00000000" w:rsidRPr="00000000" w14:paraId="0000000C">
      <w:pPr>
        <w:spacing w:after="0" w:line="276" w:lineRule="auto"/>
        <w:jc w:val="both"/>
        <w:rPr>
          <w:rFonts w:ascii="Arial" w:cs="Arial" w:eastAsia="Arial" w:hAnsi="Arial"/>
          <w:b w:val="1"/>
          <w:sz w:val="24"/>
          <w:szCs w:val="24"/>
          <w:u w:val="single"/>
        </w:rPr>
      </w:pP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b w:val="1"/>
          <w:sz w:val="24"/>
          <w:szCs w:val="24"/>
          <w:u w:val="single"/>
          <w:rtl w:val="0"/>
        </w:rPr>
        <w:t xml:space="preserve">Amplasament și accesibilitate:</w:t>
      </w:r>
    </w:p>
    <w:p w:rsidR="00000000" w:rsidDel="00000000" w:rsidP="00000000" w:rsidRDefault="00000000" w:rsidRPr="00000000" w14:paraId="0000000D">
      <w:pPr>
        <w:spacing w:after="0" w:line="276" w:lineRule="auto"/>
        <w:ind w:firstLine="851"/>
        <w:jc w:val="both"/>
        <w:rPr>
          <w:rFonts w:ascii="Arial" w:cs="Arial" w:eastAsia="Arial" w:hAnsi="Arial"/>
          <w:color w:val="ff0000"/>
          <w:sz w:val="24"/>
          <w:szCs w:val="24"/>
        </w:rPr>
      </w:pPr>
      <w:r w:rsidDel="00000000" w:rsidR="00000000" w:rsidRPr="00000000">
        <w:rPr>
          <w:rFonts w:ascii="Arial" w:cs="Arial" w:eastAsia="Arial" w:hAnsi="Arial"/>
          <w:sz w:val="24"/>
          <w:szCs w:val="24"/>
          <w:rtl w:val="0"/>
        </w:rPr>
        <w:t xml:space="preserve">   Turnul este situat pe terasa înaltă a Oltului, la circa 200 m spre vest de ruinele Mănăstirii "Sfinții Voievozi" din comuna Hotărani, comuna Fărcașele, județul Olt. Mergând de la Roșiori de Vede spre Caracal, pe E70, (DJ 6), se virează la dreapta la ieșirea din comuna Stoenești pe DC 642, iar în aprox. 8 km se ajunge la turn. </w:t>
      </w:r>
      <w:r w:rsidDel="00000000" w:rsidR="00000000" w:rsidRPr="00000000">
        <w:rPr>
          <w:rtl w:val="0"/>
        </w:rPr>
      </w:r>
    </w:p>
    <w:p w:rsidR="00000000" w:rsidDel="00000000" w:rsidP="00000000" w:rsidRDefault="00000000" w:rsidRPr="00000000" w14:paraId="0000000E">
      <w:pPr>
        <w:spacing w:after="0" w:line="276" w:lineRule="auto"/>
        <w:jc w:val="both"/>
        <w:rPr>
          <w:rFonts w:ascii="Arial" w:cs="Arial" w:eastAsia="Arial" w:hAnsi="Arial"/>
          <w:sz w:val="16"/>
          <w:szCs w:val="16"/>
        </w:rPr>
      </w:pPr>
      <w:r w:rsidDel="00000000" w:rsidR="00000000" w:rsidRPr="00000000">
        <w:rPr>
          <w:rtl w:val="0"/>
        </w:rPr>
      </w:r>
    </w:p>
    <w:p w:rsidR="00000000" w:rsidDel="00000000" w:rsidP="00000000" w:rsidRDefault="00000000" w:rsidRPr="00000000" w14:paraId="0000000F">
      <w:pPr>
        <w:spacing w:after="0" w:line="276" w:lineRule="auto"/>
        <w:jc w:val="both"/>
        <w:rPr>
          <w:rFonts w:ascii="Arial" w:cs="Arial" w:eastAsia="Arial" w:hAnsi="Arial"/>
          <w:b w:val="1"/>
          <w:sz w:val="24"/>
          <w:szCs w:val="24"/>
          <w:u w:val="single"/>
        </w:rPr>
      </w:pPr>
      <w:r w:rsidDel="00000000" w:rsidR="00000000" w:rsidRPr="00000000">
        <w:rPr>
          <w:rFonts w:ascii="Arial" w:cs="Arial" w:eastAsia="Arial" w:hAnsi="Arial"/>
          <w:b w:val="1"/>
          <w:sz w:val="24"/>
          <w:szCs w:val="24"/>
          <w:u w:val="single"/>
          <w:rtl w:val="0"/>
        </w:rPr>
        <w:t xml:space="preserve">Turnurile: </w:t>
      </w:r>
    </w:p>
    <w:p w:rsidR="00000000" w:rsidDel="00000000" w:rsidP="00000000" w:rsidRDefault="00000000" w:rsidRPr="00000000" w14:paraId="00000010">
      <w:pPr>
        <w:spacing w:after="0" w:line="276" w:lineRule="auto"/>
        <w:jc w:val="both"/>
        <w:rPr>
          <w:rFonts w:ascii="Arial" w:cs="Arial" w:eastAsia="Arial" w:hAnsi="Arial"/>
          <w:b w:val="1"/>
          <w:sz w:val="24"/>
          <w:szCs w:val="24"/>
          <w:u w:val="single"/>
        </w:rPr>
      </w:pPr>
      <w:r w:rsidDel="00000000" w:rsidR="00000000" w:rsidRPr="00000000">
        <w:rPr>
          <w:rtl w:val="0"/>
        </w:rPr>
      </w:r>
    </w:p>
    <w:p w:rsidR="00000000" w:rsidDel="00000000" w:rsidP="00000000" w:rsidRDefault="00000000" w:rsidRPr="00000000" w14:paraId="00000011">
      <w:pPr>
        <w:spacing w:after="0" w:line="276" w:lineRule="auto"/>
        <w:ind w:firstLine="851"/>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„O primă categorie de construcții anterioare culelor și amplasate în aceeași zonă, cu elemente arhitecturale ce puteau servi drept model, sunt </w:t>
      </w:r>
      <w:r w:rsidDel="00000000" w:rsidR="00000000" w:rsidRPr="00000000">
        <w:rPr>
          <w:rFonts w:ascii="Arial" w:cs="Arial" w:eastAsia="Arial" w:hAnsi="Arial"/>
          <w:b w:val="1"/>
          <w:sz w:val="24"/>
          <w:szCs w:val="24"/>
          <w:rtl w:val="0"/>
        </w:rPr>
        <w:t xml:space="preserve">turnurile fortificate</w:t>
      </w:r>
      <w:r w:rsidDel="00000000" w:rsidR="00000000" w:rsidRPr="00000000">
        <w:rPr>
          <w:rFonts w:ascii="Arial" w:cs="Arial" w:eastAsia="Arial" w:hAnsi="Arial"/>
          <w:sz w:val="24"/>
          <w:szCs w:val="24"/>
          <w:rtl w:val="0"/>
        </w:rPr>
        <w:t xml:space="preserve">. Erau amplasate fie izolat, ca obiective pur militare, fie inserate mănăstirilor, ca turnuri de poartă, fie înglobate bisericii, dar gândite ca structuri autonome, separate prin rost de tasare de partea mai scundă a lăcașului. O trăsătură comună acestor turnuri este gabaritul lor, disproporționat de mare,  față de celelalte părți ale ansamblului; pe lângă rolul de apărare, clopotnițele făceau parte și din sistemul de supraveghere a teritoriului, dangătul de primejdie fiind un mijloc de semnalizare mai prompt, mai sigur și mai eficient decât fumul.”</w:t>
      </w:r>
      <w:r w:rsidDel="00000000" w:rsidR="00000000" w:rsidRPr="00000000">
        <w:rPr>
          <w:rFonts w:ascii="Arial" w:cs="Arial" w:eastAsia="Arial" w:hAnsi="Arial"/>
          <w:sz w:val="24"/>
          <w:szCs w:val="24"/>
          <w:vertAlign w:val="superscript"/>
        </w:rPr>
        <w:footnoteReference w:customMarkFollows="0" w:id="0"/>
      </w:r>
      <w:r w:rsidDel="00000000" w:rsidR="00000000" w:rsidRPr="00000000">
        <w:rPr>
          <w:rtl w:val="0"/>
        </w:rPr>
      </w:r>
    </w:p>
    <w:p w:rsidR="00000000" w:rsidDel="00000000" w:rsidP="00000000" w:rsidRDefault="00000000" w:rsidRPr="00000000" w14:paraId="00000012">
      <w:pPr>
        <w:spacing w:after="0" w:line="276"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13">
      <w:pPr>
        <w:spacing w:after="0" w:line="276" w:lineRule="auto"/>
        <w:jc w:val="both"/>
        <w:rPr>
          <w:rFonts w:ascii="Arial" w:cs="Arial" w:eastAsia="Arial" w:hAnsi="Arial"/>
          <w:b w:val="1"/>
          <w:sz w:val="24"/>
          <w:szCs w:val="24"/>
          <w:u w:val="single"/>
        </w:rPr>
      </w:pPr>
      <w:r w:rsidDel="00000000" w:rsidR="00000000" w:rsidRPr="00000000">
        <w:rPr>
          <w:rFonts w:ascii="Arial" w:cs="Arial" w:eastAsia="Arial" w:hAnsi="Arial"/>
          <w:b w:val="1"/>
          <w:sz w:val="24"/>
          <w:szCs w:val="24"/>
          <w:u w:val="single"/>
          <w:rtl w:val="0"/>
        </w:rPr>
        <w:t xml:space="preserve">Istoric și arhitectură:</w:t>
      </w:r>
    </w:p>
    <w:p w:rsidR="00000000" w:rsidDel="00000000" w:rsidP="00000000" w:rsidRDefault="00000000" w:rsidRPr="00000000" w14:paraId="00000014">
      <w:pPr>
        <w:spacing w:after="0" w:line="276" w:lineRule="auto"/>
        <w:jc w:val="both"/>
        <w:rPr>
          <w:rFonts w:ascii="Arial" w:cs="Arial" w:eastAsia="Arial" w:hAnsi="Arial"/>
          <w:b w:val="1"/>
          <w:sz w:val="16"/>
          <w:szCs w:val="16"/>
          <w:u w:val="single"/>
        </w:rPr>
      </w:pPr>
      <w:r w:rsidDel="00000000" w:rsidR="00000000" w:rsidRPr="00000000">
        <w:rPr>
          <w:rtl w:val="0"/>
        </w:rPr>
      </w:r>
    </w:p>
    <w:p w:rsidR="00000000" w:rsidDel="00000000" w:rsidP="00000000" w:rsidRDefault="00000000" w:rsidRPr="00000000" w14:paraId="00000015">
      <w:pPr>
        <w:spacing w:after="0" w:line="276" w:lineRule="auto"/>
        <w:ind w:firstLine="851"/>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„Zona satului Hotărani a fost populată din vremuri străvechi, descoperindu-se urme chiar din paleolitic. Stabilirea capitalei Daciei Malvensis la Romula (Reșca de azi) a condus la dezvoltarea unei așezări suburbane (vicus) în apropierea cetății romane. Drumul roman care traversa Dunărea pe „podul de aramă” ridicat în vremea lui Constantin cel Mare, trecea pe lângă Sucidava, pe la Romula, până la Râmnicu Vâlcea. Fluxul de mărfuri și călători de pe calea romană („drumul lui Traian”) au contribuit la progresul așezării de la Hotărani. Cărămizi, bucăți de marmură, fragmente de coloane și alte asemenea piese au constituit material de construcție pentru curtea boierească și mănăstirea de la Hotărani.”</w:t>
      </w:r>
      <w:r w:rsidDel="00000000" w:rsidR="00000000" w:rsidRPr="00000000">
        <w:rPr>
          <w:rFonts w:ascii="Arial" w:cs="Arial" w:eastAsia="Arial" w:hAnsi="Arial"/>
          <w:sz w:val="24"/>
          <w:szCs w:val="24"/>
          <w:vertAlign w:val="superscript"/>
        </w:rPr>
        <w:footnoteReference w:customMarkFollows="0" w:id="1"/>
      </w:r>
      <w:r w:rsidDel="00000000" w:rsidR="00000000" w:rsidRPr="00000000">
        <w:rPr>
          <w:rtl w:val="0"/>
        </w:rPr>
      </w:r>
    </w:p>
    <w:p w:rsidR="00000000" w:rsidDel="00000000" w:rsidP="00000000" w:rsidRDefault="00000000" w:rsidRPr="00000000" w14:paraId="00000016">
      <w:pPr>
        <w:spacing w:after="0" w:line="276" w:lineRule="auto"/>
        <w:ind w:firstLine="851"/>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„Marele vornic Mitrea (Dumitru), ctitorul Mănăstirii Hotărani, este una din personalitățile politice marcante din a doua jumătate a secolului al XVI –lea, fiind menționat documentar între dregători domnești începând cu anul 1569 și apoi, fără întrerupere, până în 1585. Prin soția sa, Neaga Mitroaia vorniceasa, rudă cu doamna Neaga, a doua soție a lui Mihnea Turcitul, era înrudit cu domnul Țării Românești, el fiind acela care aducea steagul de domnie a lui Mihnea, bucurându-se în schimb, de titlul de mare vornic. O dată cu venirea la domnie a lui Petru Cercel, fuge în Transilvania, dar la scurt timp revine și apare din nou în documente ca mare vornic, cu mici intermitențe, până în anul 1596, când, făcând parte din solia care a încheiat tratatul de alianță cu imperialii austrieci la Alba-Iulia, este ucis de Mihai Viteazul </w:t>
      </w:r>
      <w:r w:rsidDel="00000000" w:rsidR="00000000" w:rsidRPr="00000000">
        <w:rPr>
          <w:rFonts w:ascii="Arial" w:cs="Arial" w:eastAsia="Arial" w:hAnsi="Arial"/>
          <w:i w:val="1"/>
          <w:sz w:val="24"/>
          <w:szCs w:val="24"/>
          <w:rtl w:val="0"/>
        </w:rPr>
        <w:t xml:space="preserve">pentru hiclenie</w:t>
      </w:r>
      <w:r w:rsidDel="00000000" w:rsidR="00000000" w:rsidRPr="00000000">
        <w:rPr>
          <w:rFonts w:ascii="Arial" w:cs="Arial" w:eastAsia="Arial" w:hAnsi="Arial"/>
          <w:sz w:val="24"/>
          <w:szCs w:val="24"/>
          <w:rtl w:val="0"/>
        </w:rPr>
        <w:t xml:space="preserve">.”</w:t>
      </w:r>
      <w:r w:rsidDel="00000000" w:rsidR="00000000" w:rsidRPr="00000000">
        <w:rPr>
          <w:rFonts w:ascii="Arial" w:cs="Arial" w:eastAsia="Arial" w:hAnsi="Arial"/>
          <w:sz w:val="24"/>
          <w:szCs w:val="24"/>
          <w:vertAlign w:val="superscript"/>
        </w:rPr>
        <w:footnoteReference w:customMarkFollows="0" w:id="2"/>
      </w:r>
      <w:r w:rsidDel="00000000" w:rsidR="00000000" w:rsidRPr="00000000">
        <w:rPr>
          <w:rFonts w:ascii="Arial" w:cs="Arial" w:eastAsia="Arial" w:hAnsi="Arial"/>
          <w:sz w:val="24"/>
          <w:szCs w:val="24"/>
          <w:rtl w:val="0"/>
        </w:rPr>
        <w:t xml:space="preserve">  </w:t>
      </w:r>
    </w:p>
    <w:p w:rsidR="00000000" w:rsidDel="00000000" w:rsidP="00000000" w:rsidRDefault="00000000" w:rsidRPr="00000000" w14:paraId="00000017">
      <w:pPr>
        <w:spacing w:after="0" w:line="276" w:lineRule="auto"/>
        <w:ind w:firstLine="851"/>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18">
      <w:pPr>
        <w:spacing w:after="0" w:line="276" w:lineRule="auto"/>
        <w:ind w:firstLine="851"/>
        <w:jc w:val="both"/>
        <w:rPr>
          <w:rFonts w:ascii="Arial" w:cs="Arial" w:eastAsia="Arial" w:hAnsi="Arial"/>
          <w:b w:val="1"/>
          <w:sz w:val="24"/>
          <w:szCs w:val="24"/>
          <w:u w:val="single"/>
        </w:rPr>
      </w:pPr>
      <w:r w:rsidDel="00000000" w:rsidR="00000000" w:rsidRPr="00000000">
        <w:rPr>
          <w:rFonts w:ascii="Arial" w:cs="Arial" w:eastAsia="Arial" w:hAnsi="Arial"/>
          <w:b w:val="1"/>
          <w:sz w:val="24"/>
          <w:szCs w:val="24"/>
          <w:u w:val="single"/>
          <w:rtl w:val="0"/>
        </w:rPr>
        <w:t xml:space="preserve">Povestea locului:</w:t>
      </w:r>
    </w:p>
    <w:p w:rsidR="00000000" w:rsidDel="00000000" w:rsidP="00000000" w:rsidRDefault="00000000" w:rsidRPr="00000000" w14:paraId="00000019">
      <w:pPr>
        <w:spacing w:after="0" w:line="276" w:lineRule="auto"/>
        <w:ind w:firstLine="851"/>
        <w:jc w:val="both"/>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01A">
      <w:pPr>
        <w:spacing w:after="0" w:line="276" w:lineRule="auto"/>
        <w:ind w:firstLine="851"/>
        <w:jc w:val="both"/>
        <w:rPr>
          <w:rFonts w:ascii="Arial" w:cs="Arial" w:eastAsia="Arial" w:hAnsi="Arial"/>
          <w:color w:val="ff0000"/>
          <w:sz w:val="24"/>
          <w:szCs w:val="24"/>
        </w:rPr>
      </w:pPr>
      <w:r w:rsidDel="00000000" w:rsidR="00000000" w:rsidRPr="00000000">
        <w:rPr>
          <w:rFonts w:ascii="Arial" w:cs="Arial" w:eastAsia="Arial" w:hAnsi="Arial"/>
          <w:sz w:val="24"/>
          <w:szCs w:val="24"/>
          <w:rtl w:val="0"/>
        </w:rPr>
        <w:t xml:space="preserve">Turnul reprezintă ultima urmă a curților fortificate boierești din Hotărani. Reședința boierească a fost ridicată de ascendenții lui Mitrea în prima jumătatea a veacului al XVI-lea sau chiar de însuși înaltul dregător înainte de edificarea schitului. Puternicul turn a fost piesa de bază a fortificațiilor curții boierești de la Hotărani și cel mai estic punct de observaţie din bazinul inferior al Oltului – are o înălțime de </w:t>
      </w:r>
      <w:r w:rsidDel="00000000" w:rsidR="00000000" w:rsidRPr="00000000">
        <w:rPr>
          <w:rFonts w:ascii="Arial" w:cs="Arial" w:eastAsia="Arial" w:hAnsi="Arial"/>
          <w:b w:val="1"/>
          <w:sz w:val="24"/>
          <w:szCs w:val="24"/>
          <w:rtl w:val="0"/>
        </w:rPr>
        <w:t xml:space="preserve">15,80</w:t>
      </w:r>
      <w:r w:rsidDel="00000000" w:rsidR="00000000" w:rsidRPr="00000000">
        <w:rPr>
          <w:rFonts w:ascii="Arial" w:cs="Arial" w:eastAsia="Arial" w:hAnsi="Arial"/>
          <w:sz w:val="24"/>
          <w:szCs w:val="24"/>
          <w:rtl w:val="0"/>
        </w:rPr>
        <w:t xml:space="preserve"> m. De la înălțimea ultimului nivel putea fi supravegheată toată Valea Oltului, de la Fălcoiu până în Drăgănești, valea Tesluiului, până la confluența sa cu Oltul, precum și drumul cel mare, comercial, care traversa câmpia spre trecătorile munților.</w:t>
      </w:r>
      <w:r w:rsidDel="00000000" w:rsidR="00000000" w:rsidRPr="00000000">
        <w:rPr>
          <w:rtl w:val="0"/>
        </w:rPr>
      </w:r>
    </w:p>
    <w:p w:rsidR="00000000" w:rsidDel="00000000" w:rsidP="00000000" w:rsidRDefault="00000000" w:rsidRPr="00000000" w14:paraId="0000001B">
      <w:pPr>
        <w:spacing w:after="0" w:line="276" w:lineRule="auto"/>
        <w:ind w:firstLine="851"/>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„Turnul este o construcţie de plan pătrat, cu patru nivele; primul nivel (gangul de acces) este acoperit cu o boltă plată, iar celelalte cu planşee din grinzi. Accesul din exterior se făcea la etajul l printr-o scară exterioară de lemn, astăzi dispărută. Iniţial, a făcut parte dintr-un ansamblu format din mănăstire (amplasată pe malul Tesluiului, cu o diferenţă de nivel de aprox. 10 m) şi curte boierească, funcţiunea sa fiind triplă: turn de poartă, turn clopotniţă, turn de supraveghere. Cercetările arheologice au condus la următoarele concluzii: - turnul actual este în întregime rezultatul unei refaceri care a folosit fundaţiile originale, deplasându-se însă spre est faţă de traseul acestora; fundaţiile sunt realizate din cărămidă înecată în mortar, iar lăţimea variază între 1,40-1,60 m. - turnul a fost încadrat într-un zid de incintă, ale cărui urme au fost identificate atât spre nord cât şi spre sud; relaţia constructivă dintre turn şi incintă a fost din păcate distrusă de o centură de beton. - pe latura de nord a turnului a fost identificată o încăpere cu suprafaţa de 12 mp, care a funcţionat probabil ca o cameră de gardă. În ceea ce priveşte cronologia, săpătura nu ne-a oferit argumente pentru datarea precisă a etapelor de construcţie; presupunem însă că turnul a fost edificat în aceeaşi perioadă cu mănăstirea şi curtea boierească, spre sfârşitul secolului al XVI-lea sau începutul veacului următor.”</w:t>
      </w:r>
      <w:r w:rsidDel="00000000" w:rsidR="00000000" w:rsidRPr="00000000">
        <w:rPr>
          <w:rFonts w:ascii="Arial" w:cs="Arial" w:eastAsia="Arial" w:hAnsi="Arial"/>
          <w:sz w:val="24"/>
          <w:szCs w:val="24"/>
          <w:vertAlign w:val="superscript"/>
        </w:rPr>
        <w:footnoteReference w:customMarkFollows="0" w:id="3"/>
      </w:r>
      <w:r w:rsidDel="00000000" w:rsidR="00000000" w:rsidRPr="00000000">
        <w:rPr>
          <w:rtl w:val="0"/>
        </w:rPr>
      </w:r>
    </w:p>
    <w:p w:rsidR="00000000" w:rsidDel="00000000" w:rsidP="00000000" w:rsidRDefault="00000000" w:rsidRPr="00000000" w14:paraId="0000001C">
      <w:pPr>
        <w:spacing w:after="0" w:line="276" w:lineRule="auto"/>
        <w:ind w:firstLine="851"/>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„În turnu - clopotniță, boltirea intrării era marcată de o arhivoltă subliniată de un feston din zimți de cărămidă; deasupra ei se află o încăpere cu o fereastră spre interiorul incintei și două uși arcuite care asigurau legătura cu chiliile, goluri situate pe latura de vest și respectiv pe latura de est ale acestor încăperi. Camera clopotelor dispusă la ultimul nivel, avea și rolul de loc pentru pază și observație prin cele patru deschideri arcuite corespunzătoare celor patru puncte cardinale. Arcadele golurilor sunt subliniate de un șir de cărămizi zimțate, un adevărat laitmotiv al elementelor din decorația exterioară a bisericii.”</w:t>
      </w:r>
      <w:r w:rsidDel="00000000" w:rsidR="00000000" w:rsidRPr="00000000">
        <w:rPr>
          <w:rFonts w:ascii="Arial" w:cs="Arial" w:eastAsia="Arial" w:hAnsi="Arial"/>
          <w:sz w:val="24"/>
          <w:szCs w:val="24"/>
          <w:vertAlign w:val="superscript"/>
        </w:rPr>
        <w:footnoteReference w:customMarkFollows="0" w:id="4"/>
      </w:r>
      <w:r w:rsidDel="00000000" w:rsidR="00000000" w:rsidRPr="00000000">
        <w:rPr>
          <w:rFonts w:ascii="Arial" w:cs="Arial" w:eastAsia="Arial" w:hAnsi="Arial"/>
          <w:sz w:val="24"/>
          <w:szCs w:val="24"/>
          <w:rtl w:val="0"/>
        </w:rPr>
        <w:t xml:space="preserve"> </w:t>
      </w:r>
    </w:p>
    <w:p w:rsidR="00000000" w:rsidDel="00000000" w:rsidP="00000000" w:rsidRDefault="00000000" w:rsidRPr="00000000" w14:paraId="0000001D">
      <w:pPr>
        <w:spacing w:after="0" w:line="276" w:lineRule="auto"/>
        <w:ind w:firstLine="851"/>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La sfârșitul secolului al XIX-lea, în turnul clopotniță era depozitată biblioteca mănăstirii, alcătuită din cărți, documente, acte etc. Din nefericire, biblioteca a ars în anul 1898, când turnul – clopotniță a fost incendiat întâmplător de niște copii din sat care au făcut focul lângă scara lui. </w:t>
      </w:r>
    </w:p>
    <w:p w:rsidR="00000000" w:rsidDel="00000000" w:rsidP="00000000" w:rsidRDefault="00000000" w:rsidRPr="00000000" w14:paraId="0000001E">
      <w:pPr>
        <w:spacing w:after="0" w:line="276" w:lineRule="auto"/>
        <w:ind w:firstLine="851"/>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„În 1909, când generalul Petre Vasiliu – Năsturel vizita Hotăranii, doar biserica și frânturi din zidul răsăritean, din cel de miazăzi și miazănoapte mai rămăseseră. În inspecție în Oltenia la 1910, Virgil Drăghiceanu cerceta în treacăt și Hotăranii, propunând clasarea în lista monumentelor istorice atât a bisericii, cât și a turnului, ceea ce se și făcea, dacă nu printr-o lege specială, atunci prin decretul regelui Ferdinand de la 1915.</w:t>
      </w:r>
    </w:p>
    <w:p w:rsidR="00000000" w:rsidDel="00000000" w:rsidP="00000000" w:rsidRDefault="00000000" w:rsidRPr="00000000" w14:paraId="0000001F">
      <w:pPr>
        <w:spacing w:after="0" w:line="276" w:lineRule="auto"/>
        <w:ind w:firstLine="851"/>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În vederea conservării și consolidării turnului în anii 1960, la temelia sa s-a turnat o centură de beton și s-a realizat un acoperiș din olane.</w:t>
      </w:r>
    </w:p>
    <w:p w:rsidR="00000000" w:rsidDel="00000000" w:rsidP="00000000" w:rsidRDefault="00000000" w:rsidRPr="00000000" w14:paraId="00000020">
      <w:pPr>
        <w:spacing w:after="0" w:line="276" w:lineRule="auto"/>
        <w:ind w:firstLine="851"/>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În anul 1998, ansamblul format din turn și biserică a fost inclus în planul național de restaurare al Ministerului Culturii – CNMI.”</w:t>
      </w:r>
      <w:r w:rsidDel="00000000" w:rsidR="00000000" w:rsidRPr="00000000">
        <w:rPr>
          <w:rFonts w:ascii="Arial" w:cs="Arial" w:eastAsia="Arial" w:hAnsi="Arial"/>
          <w:sz w:val="24"/>
          <w:szCs w:val="24"/>
          <w:vertAlign w:val="superscript"/>
        </w:rPr>
        <w:footnoteReference w:customMarkFollows="0" w:id="5"/>
      </w:r>
      <w:r w:rsidDel="00000000" w:rsidR="00000000" w:rsidRPr="00000000">
        <w:rPr>
          <w:rtl w:val="0"/>
        </w:rPr>
      </w:r>
    </w:p>
    <w:p w:rsidR="00000000" w:rsidDel="00000000" w:rsidP="00000000" w:rsidRDefault="00000000" w:rsidRPr="00000000" w14:paraId="00000021">
      <w:pPr>
        <w:spacing w:after="0" w:line="276" w:lineRule="auto"/>
        <w:jc w:val="both"/>
        <w:rPr>
          <w:rFonts w:ascii="Arial" w:cs="Arial" w:eastAsia="Arial" w:hAnsi="Arial"/>
          <w:b w:val="1"/>
          <w:color w:val="ff0000"/>
          <w:sz w:val="16"/>
          <w:szCs w:val="16"/>
          <w:u w:val="single"/>
        </w:rPr>
      </w:pPr>
      <w:r w:rsidDel="00000000" w:rsidR="00000000" w:rsidRPr="00000000">
        <w:rPr>
          <w:rFonts w:ascii="Arial" w:cs="Arial" w:eastAsia="Arial" w:hAnsi="Arial"/>
          <w:sz w:val="24"/>
          <w:szCs w:val="24"/>
          <w:rtl w:val="0"/>
        </w:rPr>
        <w:t xml:space="preserve">      </w:t>
      </w:r>
      <w:r w:rsidDel="00000000" w:rsidR="00000000" w:rsidRPr="00000000">
        <w:rPr>
          <w:rtl w:val="0"/>
        </w:rPr>
      </w:r>
    </w:p>
    <w:p w:rsidR="00000000" w:rsidDel="00000000" w:rsidP="00000000" w:rsidRDefault="00000000" w:rsidRPr="00000000" w14:paraId="00000022">
      <w:pPr>
        <w:spacing w:after="0" w:line="276" w:lineRule="auto"/>
        <w:jc w:val="both"/>
        <w:rPr>
          <w:rFonts w:ascii="Arial" w:cs="Arial" w:eastAsia="Arial" w:hAnsi="Arial"/>
          <w:b w:val="1"/>
          <w:sz w:val="24"/>
          <w:szCs w:val="24"/>
          <w:u w:val="single"/>
        </w:rPr>
      </w:pPr>
      <w:r w:rsidDel="00000000" w:rsidR="00000000" w:rsidRPr="00000000">
        <w:rPr>
          <w:rFonts w:ascii="Arial" w:cs="Arial" w:eastAsia="Arial" w:hAnsi="Arial"/>
          <w:b w:val="1"/>
          <w:sz w:val="24"/>
          <w:szCs w:val="24"/>
          <w:u w:val="single"/>
          <w:rtl w:val="0"/>
        </w:rPr>
        <w:t xml:space="preserve">Experiențe unice în proximitate:</w:t>
      </w:r>
    </w:p>
    <w:p w:rsidR="00000000" w:rsidDel="00000000" w:rsidP="00000000" w:rsidRDefault="00000000" w:rsidRPr="00000000" w14:paraId="00000023">
      <w:pPr>
        <w:spacing w:after="0" w:line="276" w:lineRule="auto"/>
        <w:jc w:val="both"/>
        <w:rPr>
          <w:rFonts w:ascii="Arial" w:cs="Arial" w:eastAsia="Arial" w:hAnsi="Arial"/>
          <w:b w:val="1"/>
          <w:sz w:val="24"/>
          <w:szCs w:val="24"/>
          <w:u w:val="single"/>
        </w:rPr>
      </w:pPr>
      <w:r w:rsidDel="00000000" w:rsidR="00000000" w:rsidRPr="00000000">
        <w:rPr>
          <w:rtl w:val="0"/>
        </w:rPr>
      </w:r>
    </w:p>
    <w:p w:rsidR="00000000" w:rsidDel="00000000" w:rsidP="00000000" w:rsidRDefault="00000000" w:rsidRPr="00000000" w14:paraId="00000024">
      <w:pPr>
        <w:spacing w:after="0" w:line="276" w:lineRule="auto"/>
        <w:jc w:val="both"/>
        <w:rPr>
          <w:rFonts w:ascii="Arial" w:cs="Arial" w:eastAsia="Arial" w:hAnsi="Arial"/>
          <w:sz w:val="24"/>
          <w:szCs w:val="24"/>
        </w:rPr>
      </w:pPr>
      <w:r w:rsidDel="00000000" w:rsidR="00000000" w:rsidRPr="00000000">
        <w:rPr>
          <w:rFonts w:ascii="Arial" w:cs="Arial" w:eastAsia="Arial" w:hAnsi="Arial"/>
          <w:b w:val="1"/>
          <w:sz w:val="24"/>
          <w:szCs w:val="24"/>
          <w:rtl w:val="0"/>
        </w:rPr>
        <w:t xml:space="preserve">Ruinele mănăstirii Hotărani – </w:t>
      </w:r>
      <w:r w:rsidDel="00000000" w:rsidR="00000000" w:rsidRPr="00000000">
        <w:rPr>
          <w:rFonts w:ascii="Arial" w:cs="Arial" w:eastAsia="Arial" w:hAnsi="Arial"/>
          <w:sz w:val="24"/>
          <w:szCs w:val="24"/>
          <w:rtl w:val="0"/>
        </w:rPr>
        <w:t xml:space="preserve">Situate în localitatea Hotărani, comuna Fărcașele. Biserica păstrează unul dintre cele mai vechi pridvoare de zid. Construită în 1588, de vornicul Mitrea si jupanița Neaga, pe ruinele unui sat roman (vicus), </w:t>
        <w:tab/>
        <w:t xml:space="preserve">. Picturile murale interioare au fost executate în 1840. Monument istoric și de arhitectura religioasă.</w:t>
      </w:r>
    </w:p>
    <w:p w:rsidR="00000000" w:rsidDel="00000000" w:rsidP="00000000" w:rsidRDefault="00000000" w:rsidRPr="00000000" w14:paraId="00000025">
      <w:pPr>
        <w:spacing w:after="0" w:line="276" w:lineRule="auto"/>
        <w:jc w:val="both"/>
        <w:rPr>
          <w:rFonts w:ascii="Arial" w:cs="Arial" w:eastAsia="Arial" w:hAnsi="Arial"/>
          <w:sz w:val="24"/>
          <w:szCs w:val="24"/>
        </w:rPr>
      </w:pPr>
      <w:r w:rsidDel="00000000" w:rsidR="00000000" w:rsidRPr="00000000">
        <w:rPr>
          <w:rFonts w:ascii="Arial" w:cs="Arial" w:eastAsia="Arial" w:hAnsi="Arial"/>
          <w:b w:val="1"/>
          <w:sz w:val="24"/>
          <w:szCs w:val="24"/>
          <w:rtl w:val="0"/>
        </w:rPr>
        <w:t xml:space="preserve">Casa memorială Nicolae Titulescu - </w:t>
      </w:r>
      <w:r w:rsidDel="00000000" w:rsidR="00000000" w:rsidRPr="00000000">
        <w:rPr>
          <w:rFonts w:ascii="Arial" w:cs="Arial" w:eastAsia="Arial" w:hAnsi="Arial"/>
          <w:sz w:val="24"/>
          <w:szCs w:val="24"/>
          <w:rtl w:val="0"/>
        </w:rPr>
        <w:t xml:space="preserve">Casa a fost construită la începutul veacului al XX-lea cu rol de reședință de vară a familiei ilustrului diplomat român.</w:t>
      </w:r>
    </w:p>
    <w:p w:rsidR="00000000" w:rsidDel="00000000" w:rsidP="00000000" w:rsidRDefault="00000000" w:rsidRPr="00000000" w14:paraId="00000026">
      <w:pPr>
        <w:spacing w:after="0" w:line="276" w:lineRule="auto"/>
        <w:jc w:val="both"/>
        <w:rPr>
          <w:rFonts w:ascii="Arial" w:cs="Arial" w:eastAsia="Arial" w:hAnsi="Arial"/>
          <w:sz w:val="24"/>
          <w:szCs w:val="24"/>
        </w:rPr>
      </w:pPr>
      <w:r w:rsidDel="00000000" w:rsidR="00000000" w:rsidRPr="00000000">
        <w:rPr>
          <w:rFonts w:ascii="Arial" w:cs="Arial" w:eastAsia="Arial" w:hAnsi="Arial"/>
          <w:b w:val="1"/>
          <w:sz w:val="24"/>
          <w:szCs w:val="24"/>
          <w:rtl w:val="0"/>
        </w:rPr>
        <w:t xml:space="preserve">Conacul Cula Caleteanu</w:t>
      </w:r>
      <w:r w:rsidDel="00000000" w:rsidR="00000000" w:rsidRPr="00000000">
        <w:rPr>
          <w:rFonts w:ascii="Arial" w:cs="Arial" w:eastAsia="Arial" w:hAnsi="Arial"/>
          <w:sz w:val="24"/>
          <w:szCs w:val="24"/>
          <w:rtl w:val="0"/>
        </w:rPr>
        <w:t xml:space="preserve">, din Enoșești, lângă Piatra-Olt. Boierul Călețeanu a fost stegar în timpul evenimentelor conduse de Tudor Vladimirescu. Clădirea păstrează nucleul culei inițiale de la începutul secolului al XIX-lea, dar ulterior a fost transformată într-un conac rural.</w:t>
      </w:r>
    </w:p>
    <w:p w:rsidR="00000000" w:rsidDel="00000000" w:rsidP="00000000" w:rsidRDefault="00000000" w:rsidRPr="00000000" w14:paraId="00000027">
      <w:pPr>
        <w:spacing w:after="0" w:line="276" w:lineRule="auto"/>
        <w:jc w:val="both"/>
        <w:rPr>
          <w:rFonts w:ascii="Arial" w:cs="Arial" w:eastAsia="Arial" w:hAnsi="Arial"/>
          <w:color w:val="ff0000"/>
          <w:sz w:val="16"/>
          <w:szCs w:val="16"/>
        </w:rPr>
      </w:pPr>
      <w:r w:rsidDel="00000000" w:rsidR="00000000" w:rsidRPr="00000000">
        <w:rPr>
          <w:rtl w:val="0"/>
        </w:rPr>
      </w:r>
    </w:p>
    <w:p w:rsidR="00000000" w:rsidDel="00000000" w:rsidP="00000000" w:rsidRDefault="00000000" w:rsidRPr="00000000" w14:paraId="00000028">
      <w:pPr>
        <w:spacing w:after="0" w:line="276" w:lineRule="auto"/>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Date de contact:</w:t>
      </w:r>
    </w:p>
    <w:p w:rsidR="00000000" w:rsidDel="00000000" w:rsidP="00000000" w:rsidRDefault="00000000" w:rsidRPr="00000000" w14:paraId="00000029">
      <w:pPr>
        <w:spacing w:after="0" w:line="276" w:lineRule="auto"/>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Primăria Fărcașele</w:t>
      </w:r>
    </w:p>
    <w:p w:rsidR="00000000" w:rsidDel="00000000" w:rsidP="00000000" w:rsidRDefault="00000000" w:rsidRPr="00000000" w14:paraId="0000002A">
      <w:pPr>
        <w:spacing w:after="0" w:line="276"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Sat Hotărani, comuna Fărcașele, județul Olt</w:t>
      </w:r>
    </w:p>
    <w:p w:rsidR="00000000" w:rsidDel="00000000" w:rsidP="00000000" w:rsidRDefault="00000000" w:rsidRPr="00000000" w14:paraId="0000002B">
      <w:pPr>
        <w:spacing w:after="0" w:line="276"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Persoana de contact: Leon Viorel</w:t>
      </w:r>
    </w:p>
    <w:p w:rsidR="00000000" w:rsidDel="00000000" w:rsidP="00000000" w:rsidRDefault="00000000" w:rsidRPr="00000000" w14:paraId="0000002C">
      <w:pPr>
        <w:spacing w:after="0" w:line="276"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Telefon</w:t>
      </w:r>
      <w:r w:rsidDel="00000000" w:rsidR="00000000" w:rsidRPr="00000000">
        <w:rPr>
          <w:rFonts w:ascii="Arial" w:cs="Arial" w:eastAsia="Arial" w:hAnsi="Arial"/>
          <w:rtl w:val="0"/>
        </w:rPr>
        <w:t xml:space="preserve"> mobil: 0766.064.549</w:t>
      </w:r>
      <w:r w:rsidDel="00000000" w:rsidR="00000000" w:rsidRPr="00000000">
        <w:rPr>
          <w:rtl w:val="0"/>
        </w:rPr>
      </w:r>
    </w:p>
    <w:p w:rsidR="00000000" w:rsidDel="00000000" w:rsidP="00000000" w:rsidRDefault="00000000" w:rsidRPr="00000000" w14:paraId="0000002D">
      <w:pPr>
        <w:spacing w:after="0" w:line="276"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Web</w:t>
      </w:r>
      <w:r w:rsidDel="00000000" w:rsidR="00000000" w:rsidRPr="00000000">
        <w:rPr>
          <w:rFonts w:ascii="Arial" w:cs="Arial" w:eastAsia="Arial" w:hAnsi="Arial"/>
          <w:color w:val="ff0000"/>
          <w:sz w:val="24"/>
          <w:szCs w:val="24"/>
          <w:rtl w:val="0"/>
        </w:rPr>
        <w:t xml:space="preserve">: </w:t>
      </w:r>
      <w:r w:rsidDel="00000000" w:rsidR="00000000" w:rsidRPr="00000000">
        <w:rPr>
          <w:rFonts w:ascii="Arial" w:cs="Arial" w:eastAsia="Arial" w:hAnsi="Arial"/>
          <w:sz w:val="24"/>
          <w:szCs w:val="24"/>
          <w:rtl w:val="0"/>
        </w:rPr>
        <w:t xml:space="preserve">contact@primaria-farcasele.ro</w:t>
      </w:r>
    </w:p>
    <w:p w:rsidR="00000000" w:rsidDel="00000000" w:rsidP="00000000" w:rsidRDefault="00000000" w:rsidRPr="00000000" w14:paraId="0000002E">
      <w:pPr>
        <w:spacing w:after="0" w:line="276" w:lineRule="auto"/>
        <w:jc w:val="both"/>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02F">
      <w:pPr>
        <w:spacing w:after="0" w:line="276" w:lineRule="auto"/>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Program și durată estimată de vizitare:</w:t>
      </w:r>
    </w:p>
    <w:p w:rsidR="00000000" w:rsidDel="00000000" w:rsidP="00000000" w:rsidRDefault="00000000" w:rsidRPr="00000000" w14:paraId="0000003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w:cs="Arial" w:eastAsia="Arial" w:hAnsi="Arial"/>
          <w:b w:val="1"/>
          <w:i w:val="0"/>
          <w:smallCaps w:val="0"/>
          <w:strike w:val="0"/>
          <w:color w:val="000000"/>
          <w:sz w:val="24"/>
          <w:szCs w:val="24"/>
          <w:shd w:fill="auto" w:val="clear"/>
          <w:vertAlign w:val="baseline"/>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Stare degradată, </w:t>
      </w: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este</w:t>
      </w:r>
      <w:r w:rsidDel="00000000" w:rsidR="00000000" w:rsidRPr="00000000">
        <w:rPr>
          <w:rFonts w:ascii="Arial" w:cs="Arial" w:eastAsia="Arial" w:hAnsi="Arial"/>
          <w:b w:val="1"/>
          <w:sz w:val="24"/>
          <w:szCs w:val="24"/>
          <w:rtl w:val="0"/>
        </w:rPr>
        <w:t xml:space="preserve"> vizitabil numai din exterior.</w:t>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Arial" w:cs="Arial" w:eastAsia="Arial" w:hAnsi="Arial"/>
          <w:b w:val="1"/>
          <w:sz w:val="24"/>
          <w:szCs w:val="24"/>
        </w:rPr>
      </w:pPr>
      <w:r w:rsidDel="00000000" w:rsidR="00000000" w:rsidRPr="00000000">
        <w:rPr>
          <w:rtl w:val="0"/>
        </w:rPr>
      </w:r>
    </w:p>
    <w:p w:rsidR="00000000" w:rsidDel="00000000" w:rsidP="00000000" w:rsidRDefault="00000000" w:rsidRPr="00000000" w14:paraId="00000032">
      <w:pPr>
        <w:spacing w:after="0" w:line="276" w:lineRule="auto"/>
        <w:jc w:val="both"/>
        <w:rPr>
          <w:rFonts w:ascii="Arial" w:cs="Arial" w:eastAsia="Arial" w:hAnsi="Arial"/>
          <w:b w:val="1"/>
          <w:sz w:val="24"/>
          <w:szCs w:val="24"/>
          <w:u w:val="single"/>
        </w:rPr>
      </w:pPr>
      <w:r w:rsidDel="00000000" w:rsidR="00000000" w:rsidRPr="00000000">
        <w:rPr>
          <w:rtl w:val="0"/>
        </w:rPr>
      </w:r>
    </w:p>
    <w:p w:rsidR="00000000" w:rsidDel="00000000" w:rsidP="00000000" w:rsidRDefault="00000000" w:rsidRPr="00000000" w14:paraId="00000033">
      <w:pPr>
        <w:spacing w:after="0" w:line="276" w:lineRule="auto"/>
        <w:jc w:val="both"/>
        <w:rPr>
          <w:rFonts w:ascii="Arial" w:cs="Arial" w:eastAsia="Arial" w:hAnsi="Arial"/>
          <w:b w:val="1"/>
          <w:sz w:val="24"/>
          <w:szCs w:val="24"/>
          <w:u w:val="single"/>
        </w:rPr>
      </w:pPr>
      <w:r w:rsidDel="00000000" w:rsidR="00000000" w:rsidRPr="00000000">
        <w:rPr>
          <w:rFonts w:ascii="Arial" w:cs="Arial" w:eastAsia="Arial" w:hAnsi="Arial"/>
          <w:b w:val="1"/>
          <w:sz w:val="24"/>
          <w:szCs w:val="24"/>
          <w:u w:val="single"/>
          <w:rtl w:val="0"/>
        </w:rPr>
        <w:t xml:space="preserve">Bibliografie</w:t>
      </w:r>
    </w:p>
    <w:p w:rsidR="00000000" w:rsidDel="00000000" w:rsidP="00000000" w:rsidRDefault="00000000" w:rsidRPr="00000000" w14:paraId="0000003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w:cs="Arial" w:eastAsia="Arial" w:hAnsi="Arial"/>
          <w:i w:val="0"/>
          <w:smallCaps w:val="0"/>
          <w:strike w:val="0"/>
          <w:color w:val="000000"/>
          <w:sz w:val="24"/>
          <w:szCs w:val="24"/>
          <w:shd w:fill="auto" w:val="clear"/>
          <w:vertAlign w:val="baseline"/>
        </w:rPr>
      </w:pPr>
      <w:r w:rsidDel="00000000" w:rsidR="00000000" w:rsidRPr="00000000">
        <w:rPr>
          <w:rFonts w:ascii="Arial" w:cs="Arial" w:eastAsia="Arial" w:hAnsi="Arial"/>
          <w:i w:val="0"/>
          <w:smallCaps w:val="0"/>
          <w:strike w:val="0"/>
          <w:color w:val="000000"/>
          <w:sz w:val="24"/>
          <w:szCs w:val="24"/>
          <w:u w:val="none"/>
          <w:shd w:fill="auto" w:val="clear"/>
          <w:vertAlign w:val="baseline"/>
          <w:rtl w:val="0"/>
        </w:rPr>
        <w:t xml:space="preserve">Cristian Brăcăcescu, „</w:t>
      </w:r>
      <w:r w:rsidDel="00000000" w:rsidR="00000000" w:rsidRPr="00000000">
        <w:rPr>
          <w:rFonts w:ascii="Arial" w:cs="Arial" w:eastAsia="Arial" w:hAnsi="Arial"/>
          <w:i w:val="1"/>
          <w:smallCaps w:val="0"/>
          <w:strike w:val="0"/>
          <w:color w:val="000000"/>
          <w:sz w:val="24"/>
          <w:szCs w:val="24"/>
          <w:u w:val="none"/>
          <w:shd w:fill="auto" w:val="clear"/>
          <w:vertAlign w:val="baseline"/>
          <w:rtl w:val="0"/>
        </w:rPr>
        <w:t xml:space="preserve">Cule. Casele fortificate între fală și ruină”,</w:t>
      </w:r>
      <w:r w:rsidDel="00000000" w:rsidR="00000000" w:rsidRPr="00000000">
        <w:rPr>
          <w:rFonts w:ascii="Arial" w:cs="Arial" w:eastAsia="Arial" w:hAnsi="Arial"/>
          <w:i w:val="0"/>
          <w:smallCaps w:val="0"/>
          <w:strike w:val="0"/>
          <w:color w:val="000000"/>
          <w:sz w:val="24"/>
          <w:szCs w:val="24"/>
          <w:u w:val="none"/>
          <w:shd w:fill="auto" w:val="clear"/>
          <w:vertAlign w:val="baseline"/>
          <w:rtl w:val="0"/>
        </w:rPr>
        <w:t xml:space="preserve"> Editura Igloo, București, 2014</w:t>
      </w:r>
    </w:p>
    <w:p w:rsidR="00000000" w:rsidDel="00000000" w:rsidP="00000000" w:rsidRDefault="00000000" w:rsidRPr="00000000" w14:paraId="0000003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w:cs="Arial" w:eastAsia="Arial" w:hAnsi="Arial"/>
          <w:i w:val="0"/>
          <w:smallCaps w:val="0"/>
          <w:strike w:val="0"/>
          <w:color w:val="000000"/>
          <w:sz w:val="24"/>
          <w:szCs w:val="24"/>
          <w:shd w:fill="auto" w:val="clear"/>
          <w:vertAlign w:val="baseline"/>
        </w:rPr>
      </w:pPr>
      <w:r w:rsidDel="00000000" w:rsidR="00000000" w:rsidRPr="00000000">
        <w:rPr>
          <w:rFonts w:ascii="Arial" w:cs="Arial" w:eastAsia="Arial" w:hAnsi="Arial"/>
          <w:i w:val="0"/>
          <w:smallCaps w:val="0"/>
          <w:strike w:val="0"/>
          <w:color w:val="000000"/>
          <w:sz w:val="24"/>
          <w:szCs w:val="24"/>
          <w:u w:val="none"/>
          <w:shd w:fill="auto" w:val="clear"/>
          <w:vertAlign w:val="baseline"/>
          <w:rtl w:val="0"/>
        </w:rPr>
        <w:t xml:space="preserve">Aurelia Mincă, Mihail Butoi, </w:t>
      </w:r>
      <w:r w:rsidDel="00000000" w:rsidR="00000000" w:rsidRPr="00000000">
        <w:rPr>
          <w:rFonts w:ascii="Arial" w:cs="Arial" w:eastAsia="Arial" w:hAnsi="Arial"/>
          <w:i w:val="1"/>
          <w:smallCaps w:val="0"/>
          <w:strike w:val="0"/>
          <w:color w:val="000000"/>
          <w:sz w:val="24"/>
          <w:szCs w:val="24"/>
          <w:u w:val="none"/>
          <w:shd w:fill="auto" w:val="clear"/>
          <w:vertAlign w:val="baseline"/>
          <w:rtl w:val="0"/>
        </w:rPr>
        <w:t xml:space="preserve">„Monumente istorice și de artă din județul Olt”,</w:t>
      </w:r>
      <w:r w:rsidDel="00000000" w:rsidR="00000000" w:rsidRPr="00000000">
        <w:rPr>
          <w:rFonts w:ascii="Arial" w:cs="Arial" w:eastAsia="Arial" w:hAnsi="Arial"/>
          <w:i w:val="0"/>
          <w:smallCaps w:val="0"/>
          <w:strike w:val="0"/>
          <w:color w:val="000000"/>
          <w:sz w:val="24"/>
          <w:szCs w:val="24"/>
          <w:u w:val="none"/>
          <w:shd w:fill="auto" w:val="clear"/>
          <w:vertAlign w:val="baseline"/>
          <w:rtl w:val="0"/>
        </w:rPr>
        <w:t xml:space="preserve"> Editura Meridiane, București, 1984</w:t>
      </w:r>
    </w:p>
    <w:p w:rsidR="00000000" w:rsidDel="00000000" w:rsidP="00000000" w:rsidRDefault="00000000" w:rsidRPr="00000000" w14:paraId="0000003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w:cs="Arial" w:eastAsia="Arial" w:hAnsi="Arial"/>
          <w:i w:val="0"/>
          <w:smallCaps w:val="0"/>
          <w:strike w:val="0"/>
          <w:color w:val="000000"/>
          <w:sz w:val="24"/>
          <w:szCs w:val="24"/>
          <w:shd w:fill="auto" w:val="clear"/>
          <w:vertAlign w:val="baseline"/>
        </w:rPr>
      </w:pPr>
      <w:r w:rsidDel="00000000" w:rsidR="00000000" w:rsidRPr="00000000">
        <w:rPr>
          <w:rFonts w:ascii="Arial" w:cs="Arial" w:eastAsia="Arial" w:hAnsi="Arial"/>
          <w:i w:val="0"/>
          <w:smallCaps w:val="0"/>
          <w:strike w:val="0"/>
          <w:color w:val="000000"/>
          <w:sz w:val="24"/>
          <w:szCs w:val="24"/>
          <w:u w:val="none"/>
          <w:shd w:fill="auto" w:val="clear"/>
          <w:vertAlign w:val="baseline"/>
          <w:rtl w:val="0"/>
        </w:rPr>
        <w:t xml:space="preserve">Raluca Iosipescu, Sergiu Iosipescu, „</w:t>
      </w:r>
      <w:r w:rsidDel="00000000" w:rsidR="00000000" w:rsidRPr="00000000">
        <w:rPr>
          <w:rFonts w:ascii="Arial" w:cs="Arial" w:eastAsia="Arial" w:hAnsi="Arial"/>
          <w:i w:val="1"/>
          <w:smallCaps w:val="0"/>
          <w:strike w:val="0"/>
          <w:color w:val="000000"/>
          <w:sz w:val="24"/>
          <w:szCs w:val="24"/>
          <w:u w:val="none"/>
          <w:shd w:fill="auto" w:val="clear"/>
          <w:vertAlign w:val="baseline"/>
          <w:rtl w:val="0"/>
        </w:rPr>
        <w:t xml:space="preserve">Studiu istoric Biserica Sf. Voievozi”,</w:t>
      </w:r>
      <w:r w:rsidDel="00000000" w:rsidR="00000000" w:rsidRPr="00000000">
        <w:rPr>
          <w:rFonts w:ascii="Arial" w:cs="Arial" w:eastAsia="Arial" w:hAnsi="Arial"/>
          <w:i w:val="0"/>
          <w:smallCaps w:val="0"/>
          <w:strike w:val="0"/>
          <w:color w:val="000000"/>
          <w:sz w:val="24"/>
          <w:szCs w:val="24"/>
          <w:u w:val="none"/>
          <w:shd w:fill="auto" w:val="clear"/>
          <w:vertAlign w:val="baseline"/>
          <w:rtl w:val="0"/>
        </w:rPr>
        <w:t xml:space="preserve"> în Revista monumentelor istorice 2000, numărul 1-2</w:t>
      </w:r>
    </w:p>
    <w:p w:rsidR="00000000" w:rsidDel="00000000" w:rsidP="00000000" w:rsidRDefault="00000000" w:rsidRPr="00000000" w14:paraId="0000003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Arial" w:cs="Arial" w:eastAsia="Arial" w:hAnsi="Arial"/>
          <w:i w:val="1"/>
          <w:smallCaps w:val="0"/>
          <w:strike w:val="0"/>
          <w:color w:val="000000"/>
          <w:sz w:val="24"/>
          <w:szCs w:val="24"/>
          <w:shd w:fill="auto" w:val="clear"/>
          <w:vertAlign w:val="baseline"/>
        </w:rPr>
      </w:pPr>
      <w:r w:rsidDel="00000000" w:rsidR="00000000" w:rsidRPr="00000000">
        <w:rPr>
          <w:rFonts w:ascii="Arial" w:cs="Arial" w:eastAsia="Arial" w:hAnsi="Arial"/>
          <w:i w:val="0"/>
          <w:smallCaps w:val="0"/>
          <w:strike w:val="0"/>
          <w:color w:val="000000"/>
          <w:sz w:val="24"/>
          <w:szCs w:val="24"/>
          <w:u w:val="none"/>
          <w:shd w:fill="auto" w:val="clear"/>
          <w:vertAlign w:val="baseline"/>
          <w:rtl w:val="0"/>
        </w:rPr>
        <w:t xml:space="preserve">„</w:t>
      </w:r>
      <w:r w:rsidDel="00000000" w:rsidR="00000000" w:rsidRPr="00000000">
        <w:rPr>
          <w:rFonts w:ascii="Arial" w:cs="Arial" w:eastAsia="Arial" w:hAnsi="Arial"/>
          <w:i w:val="1"/>
          <w:smallCaps w:val="0"/>
          <w:strike w:val="0"/>
          <w:color w:val="000000"/>
          <w:sz w:val="24"/>
          <w:szCs w:val="24"/>
          <w:u w:val="none"/>
          <w:shd w:fill="auto" w:val="clear"/>
          <w:vertAlign w:val="baseline"/>
          <w:rtl w:val="0"/>
        </w:rPr>
        <w:t xml:space="preserve">Ruine din județul Olt – Hotărani și fântâna de granite”</w:t>
      </w:r>
      <w:r w:rsidDel="00000000" w:rsidR="00000000" w:rsidRPr="00000000">
        <w:rPr>
          <w:rFonts w:ascii="Arial" w:cs="Arial" w:eastAsia="Arial" w:hAnsi="Arial"/>
          <w:i w:val="0"/>
          <w:smallCaps w:val="0"/>
          <w:strike w:val="0"/>
          <w:color w:val="000000"/>
          <w:sz w:val="24"/>
          <w:szCs w:val="24"/>
          <w:u w:val="none"/>
          <w:shd w:fill="auto" w:val="clear"/>
          <w:vertAlign w:val="baseline"/>
          <w:rtl w:val="0"/>
        </w:rPr>
        <w:t xml:space="preserve"> </w:t>
      </w:r>
      <w:hyperlink r:id="rId8">
        <w:r w:rsidDel="00000000" w:rsidR="00000000" w:rsidRPr="00000000">
          <w:rPr>
            <w:rFonts w:ascii="Arial" w:cs="Arial" w:eastAsia="Arial" w:hAnsi="Arial"/>
            <w:i w:val="1"/>
            <w:smallCaps w:val="0"/>
            <w:strike w:val="0"/>
            <w:color w:val="0563c1"/>
            <w:sz w:val="24"/>
            <w:szCs w:val="24"/>
            <w:u w:val="single"/>
            <w:shd w:fill="auto" w:val="clear"/>
            <w:vertAlign w:val="baseline"/>
            <w:rtl w:val="0"/>
          </w:rPr>
          <w:t xml:space="preserve">https://amfostacolo.ro/impresii9.php?iid=97308&amp;d=manastirea-hotarani-hotarani--caracal</w:t>
        </w:r>
      </w:hyperlink>
      <w:r w:rsidDel="00000000" w:rsidR="00000000" w:rsidRPr="00000000">
        <w:rPr>
          <w:rFonts w:ascii="Arial" w:cs="Arial" w:eastAsia="Arial" w:hAnsi="Arial"/>
          <w:i w:val="1"/>
          <w:smallCaps w:val="0"/>
          <w:strike w:val="0"/>
          <w:color w:val="000000"/>
          <w:sz w:val="24"/>
          <w:szCs w:val="24"/>
          <w:u w:val="none"/>
          <w:shd w:fill="auto" w:val="clear"/>
          <w:vertAlign w:val="baseline"/>
          <w:rtl w:val="0"/>
        </w:rPr>
        <w:t xml:space="preserve"> , accesat la data de 26.10.2023</w:t>
      </w:r>
    </w:p>
    <w:p w:rsidR="00000000" w:rsidDel="00000000" w:rsidP="00000000" w:rsidRDefault="00000000" w:rsidRPr="00000000" w14:paraId="0000003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Arial" w:cs="Arial" w:eastAsia="Arial" w:hAnsi="Arial"/>
          <w:i w:val="0"/>
          <w:smallCaps w:val="0"/>
          <w:strike w:val="0"/>
          <w:color w:val="000000"/>
          <w:sz w:val="24"/>
          <w:szCs w:val="24"/>
          <w:shd w:fill="auto" w:val="clear"/>
          <w:vertAlign w:val="baseline"/>
        </w:rPr>
      </w:pPr>
      <w:r w:rsidDel="00000000" w:rsidR="00000000" w:rsidRPr="00000000">
        <w:rPr>
          <w:rFonts w:ascii="Arial" w:cs="Arial" w:eastAsia="Arial" w:hAnsi="Arial"/>
          <w:i w:val="0"/>
          <w:smallCaps w:val="0"/>
          <w:strike w:val="0"/>
          <w:color w:val="000000"/>
          <w:sz w:val="24"/>
          <w:szCs w:val="24"/>
          <w:u w:val="none"/>
          <w:shd w:fill="auto" w:val="clear"/>
          <w:vertAlign w:val="baseline"/>
          <w:rtl w:val="0"/>
        </w:rPr>
        <w:t xml:space="preserve">„</w:t>
      </w:r>
      <w:r w:rsidDel="00000000" w:rsidR="00000000" w:rsidRPr="00000000">
        <w:rPr>
          <w:rFonts w:ascii="Arial" w:cs="Arial" w:eastAsia="Arial" w:hAnsi="Arial"/>
          <w:i w:val="1"/>
          <w:smallCaps w:val="0"/>
          <w:strike w:val="0"/>
          <w:color w:val="000000"/>
          <w:sz w:val="24"/>
          <w:szCs w:val="24"/>
          <w:u w:val="none"/>
          <w:shd w:fill="auto" w:val="clear"/>
          <w:vertAlign w:val="baseline"/>
          <w:rtl w:val="0"/>
        </w:rPr>
        <w:t xml:space="preserve">Cronica cercetărilor arheologice</w:t>
      </w:r>
      <w:r w:rsidDel="00000000" w:rsidR="00000000" w:rsidRPr="00000000">
        <w:rPr>
          <w:rFonts w:ascii="Arial" w:cs="Arial" w:eastAsia="Arial" w:hAnsi="Arial"/>
          <w:i w:val="0"/>
          <w:smallCaps w:val="0"/>
          <w:strike w:val="0"/>
          <w:color w:val="000000"/>
          <w:sz w:val="24"/>
          <w:szCs w:val="24"/>
          <w:u w:val="none"/>
          <w:shd w:fill="auto" w:val="clear"/>
          <w:vertAlign w:val="baseline"/>
          <w:rtl w:val="0"/>
        </w:rPr>
        <w:t xml:space="preserve">”,  </w:t>
      </w:r>
      <w:hyperlink r:id="rId9">
        <w:r w:rsidDel="00000000" w:rsidR="00000000" w:rsidRPr="00000000">
          <w:rPr>
            <w:rFonts w:ascii="Arial" w:cs="Arial" w:eastAsia="Arial" w:hAnsi="Arial"/>
            <w:i w:val="0"/>
            <w:smallCaps w:val="0"/>
            <w:strike w:val="0"/>
            <w:color w:val="0563c1"/>
            <w:sz w:val="24"/>
            <w:szCs w:val="24"/>
            <w:u w:val="single"/>
            <w:shd w:fill="auto" w:val="clear"/>
            <w:vertAlign w:val="baseline"/>
            <w:rtl w:val="0"/>
          </w:rPr>
          <w:t xml:space="preserve">http://cronica.cimec.ro/detaliu.asp?k=1626</w:t>
        </w:r>
      </w:hyperlink>
      <w:r w:rsidDel="00000000" w:rsidR="00000000" w:rsidRPr="00000000">
        <w:rPr>
          <w:rFonts w:ascii="Arial" w:cs="Arial" w:eastAsia="Arial" w:hAnsi="Arial"/>
          <w:i w:val="0"/>
          <w:smallCaps w:val="0"/>
          <w:strike w:val="0"/>
          <w:color w:val="000000"/>
          <w:sz w:val="24"/>
          <w:szCs w:val="24"/>
          <w:u w:val="none"/>
          <w:shd w:fill="auto" w:val="clear"/>
          <w:vertAlign w:val="baseline"/>
          <w:rtl w:val="0"/>
        </w:rPr>
        <w:t xml:space="preserve">, accesat la data de 25.10.2023</w:t>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left"/>
        <w:rPr>
          <w:rFonts w:ascii="Arial" w:cs="Arial" w:eastAsia="Arial" w:hAnsi="Arial"/>
          <w:i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A">
      <w:pPr>
        <w:spacing w:after="0" w:line="276" w:lineRule="auto"/>
        <w:jc w:val="both"/>
        <w:rPr>
          <w:rFonts w:ascii="Arial" w:cs="Arial" w:eastAsia="Arial" w:hAnsi="Arial"/>
          <w:sz w:val="24"/>
          <w:szCs w:val="24"/>
          <w:highlight w:val="white"/>
        </w:rPr>
      </w:pPr>
      <w:r w:rsidDel="00000000" w:rsidR="00000000" w:rsidRPr="00000000">
        <w:rPr>
          <w:rtl w:val="0"/>
        </w:rPr>
      </w:r>
    </w:p>
    <w:sectPr>
      <w:footerReference r:id="rId10" w:type="default"/>
      <w:pgSz w:h="16838" w:w="11906" w:orient="portrait"/>
      <w:pgMar w:bottom="1843"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Arial"/>
  <w:font w:name="Times New Roman"/>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otnote w:id="0">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Cristian Brăcăcescu, </w:t>
      </w:r>
      <w:r w:rsidDel="00000000" w:rsidR="00000000" w:rsidRPr="00000000">
        <w:rPr>
          <w:rFonts w:ascii="Calibri" w:cs="Calibri" w:eastAsia="Calibri" w:hAnsi="Calibri"/>
          <w:b w:val="0"/>
          <w:i w:val="1"/>
          <w:smallCaps w:val="0"/>
          <w:strike w:val="0"/>
          <w:color w:val="000000"/>
          <w:sz w:val="20"/>
          <w:szCs w:val="20"/>
          <w:u w:val="none"/>
          <w:shd w:fill="auto" w:val="clear"/>
          <w:vertAlign w:val="baseline"/>
          <w:rtl w:val="0"/>
        </w:rPr>
        <w:t xml:space="preserve">„Cule. Casele fortificate între fală și ruină”</w:t>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Editura Igloo, București, 2014, p. 212</w:t>
      </w:r>
    </w:p>
  </w:footnote>
  <w:footnote w:id="1">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i w:val="1"/>
          <w:smallCaps w:val="0"/>
          <w:strike w:val="0"/>
          <w:color w:val="000000"/>
          <w:sz w:val="20"/>
          <w:szCs w:val="20"/>
          <w:u w:val="none"/>
          <w:shd w:fill="auto" w:val="clear"/>
          <w:vertAlign w:val="baseline"/>
          <w:rtl w:val="0"/>
        </w:rPr>
        <w:t xml:space="preserve"> „Ruine din județul Olt – Hotărani și fântâna de granite</w:t>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w:t>
      </w:r>
      <w:hyperlink r:id="rId1">
        <w:r w:rsidDel="00000000" w:rsidR="00000000" w:rsidRPr="00000000">
          <w:rPr>
            <w:rFonts w:ascii="Calibri" w:cs="Calibri" w:eastAsia="Calibri" w:hAnsi="Calibri"/>
            <w:b w:val="0"/>
            <w:i w:val="0"/>
            <w:smallCaps w:val="0"/>
            <w:strike w:val="0"/>
            <w:color w:val="0563c1"/>
            <w:sz w:val="20"/>
            <w:szCs w:val="20"/>
            <w:u w:val="single"/>
            <w:shd w:fill="auto" w:val="clear"/>
            <w:vertAlign w:val="baseline"/>
            <w:rtl w:val="0"/>
          </w:rPr>
          <w:t xml:space="preserve">https://amfostacolo.ro/impresii9.php?iid=97308&amp;d=manastirea-hotarani-hotarani--caracal</w:t>
        </w:r>
      </w:hyperlink>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accesat la data de 26.10.2023</w:t>
      </w:r>
    </w:p>
  </w:footnote>
  <w:footnote w:id="2">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Aurelia Mincă, Mihail Butoi, </w:t>
      </w:r>
      <w:r w:rsidDel="00000000" w:rsidR="00000000" w:rsidRPr="00000000">
        <w:rPr>
          <w:rFonts w:ascii="Calibri" w:cs="Calibri" w:eastAsia="Calibri" w:hAnsi="Calibri"/>
          <w:b w:val="0"/>
          <w:i w:val="1"/>
          <w:smallCaps w:val="0"/>
          <w:strike w:val="0"/>
          <w:color w:val="000000"/>
          <w:sz w:val="20"/>
          <w:szCs w:val="20"/>
          <w:u w:val="none"/>
          <w:shd w:fill="auto" w:val="clear"/>
          <w:vertAlign w:val="baseline"/>
          <w:rtl w:val="0"/>
        </w:rPr>
        <w:t xml:space="preserve">„Monumente istorice și de artă din județul Olt</w:t>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Editura Meridiane, București, 1984, p. 36 </w:t>
      </w:r>
    </w:p>
  </w:footnote>
  <w:footnote w:id="3">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w:t>
      </w:r>
      <w:r w:rsidDel="00000000" w:rsidR="00000000" w:rsidRPr="00000000">
        <w:rPr>
          <w:rFonts w:ascii="Calibri" w:cs="Calibri" w:eastAsia="Calibri" w:hAnsi="Calibri"/>
          <w:b w:val="0"/>
          <w:i w:val="1"/>
          <w:smallCaps w:val="0"/>
          <w:strike w:val="0"/>
          <w:color w:val="000000"/>
          <w:sz w:val="20"/>
          <w:szCs w:val="20"/>
          <w:u w:val="none"/>
          <w:shd w:fill="auto" w:val="clear"/>
          <w:vertAlign w:val="baseline"/>
          <w:rtl w:val="0"/>
        </w:rPr>
        <w:t xml:space="preserve">Cronica cercetărilor arheologice</w:t>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w:t>
      </w:r>
      <w:hyperlink r:id="rId2">
        <w:r w:rsidDel="00000000" w:rsidR="00000000" w:rsidRPr="00000000">
          <w:rPr>
            <w:rFonts w:ascii="Calibri" w:cs="Calibri" w:eastAsia="Calibri" w:hAnsi="Calibri"/>
            <w:b w:val="0"/>
            <w:i w:val="0"/>
            <w:smallCaps w:val="0"/>
            <w:strike w:val="0"/>
            <w:color w:val="0563c1"/>
            <w:sz w:val="20"/>
            <w:szCs w:val="20"/>
            <w:u w:val="single"/>
            <w:shd w:fill="auto" w:val="clear"/>
            <w:vertAlign w:val="baseline"/>
            <w:rtl w:val="0"/>
          </w:rPr>
          <w:t xml:space="preserve">http://cronica.cimec.ro/detaliu.asp?k=1626</w:t>
        </w:r>
      </w:hyperlink>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accesat la data de 25.10.2023</w:t>
      </w:r>
    </w:p>
  </w:footnote>
  <w:footnote w:id="4">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Aurelia Mincă, Mihail Butoi, </w:t>
      </w:r>
      <w:r w:rsidDel="00000000" w:rsidR="00000000" w:rsidRPr="00000000">
        <w:rPr>
          <w:rFonts w:ascii="Calibri" w:cs="Calibri" w:eastAsia="Calibri" w:hAnsi="Calibri"/>
          <w:b w:val="0"/>
          <w:i w:val="1"/>
          <w:smallCaps w:val="0"/>
          <w:strike w:val="0"/>
          <w:color w:val="000000"/>
          <w:sz w:val="20"/>
          <w:szCs w:val="20"/>
          <w:u w:val="none"/>
          <w:shd w:fill="auto" w:val="clear"/>
          <w:vertAlign w:val="baseline"/>
          <w:rtl w:val="0"/>
        </w:rPr>
        <w:t xml:space="preserve">„Monumente istorice și de artă din județul Olt”,</w:t>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Editura Meridiane, București, 1984, p.  </w:t>
      </w:r>
    </w:p>
  </w:footnote>
  <w:footnote w:id="5">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Raluca Iosipescu, Sergiu Iosipescu, </w:t>
      </w:r>
      <w:r w:rsidDel="00000000" w:rsidR="00000000" w:rsidRPr="00000000">
        <w:rPr>
          <w:rFonts w:ascii="Calibri" w:cs="Calibri" w:eastAsia="Calibri" w:hAnsi="Calibri"/>
          <w:b w:val="0"/>
          <w:i w:val="1"/>
          <w:smallCaps w:val="0"/>
          <w:strike w:val="0"/>
          <w:color w:val="000000"/>
          <w:sz w:val="20"/>
          <w:szCs w:val="20"/>
          <w:u w:val="none"/>
          <w:shd w:fill="auto" w:val="clear"/>
          <w:vertAlign w:val="baseline"/>
          <w:rtl w:val="0"/>
        </w:rPr>
        <w:t xml:space="preserve">„Studiu istoric Biserica Sf. Voievozi”, </w:t>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în Revista monumentelor istorice 2000, numărul 1-2</w:t>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2"/>
      <w:numFmt w:val="bullet"/>
      <w:lvlText w:val="-"/>
      <w:lvlJc w:val="left"/>
      <w:pPr>
        <w:ind w:left="720" w:hanging="360"/>
      </w:pPr>
      <w:rPr>
        <w:rFonts w:ascii="Times New Roman" w:cs="Times New Roman" w:eastAsia="Times New Roman" w:hAnsi="Times New Roman"/>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ro-RO"/>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Header">
    <w:name w:val="header"/>
    <w:basedOn w:val="Normal"/>
    <w:link w:val="HeaderChar"/>
    <w:uiPriority w:val="99"/>
    <w:unhideWhenUsed w:val="1"/>
    <w:rsid w:val="00372FE3"/>
    <w:pPr>
      <w:tabs>
        <w:tab w:val="center" w:pos="4513"/>
        <w:tab w:val="right" w:pos="9026"/>
      </w:tabs>
      <w:spacing w:after="0" w:line="240" w:lineRule="auto"/>
    </w:pPr>
  </w:style>
  <w:style w:type="character" w:styleId="HeaderChar" w:customStyle="1">
    <w:name w:val="Header Char"/>
    <w:basedOn w:val="DefaultParagraphFont"/>
    <w:link w:val="Header"/>
    <w:uiPriority w:val="99"/>
    <w:rsid w:val="00372FE3"/>
  </w:style>
  <w:style w:type="paragraph" w:styleId="Footer">
    <w:name w:val="footer"/>
    <w:basedOn w:val="Normal"/>
    <w:link w:val="FooterChar"/>
    <w:uiPriority w:val="99"/>
    <w:unhideWhenUsed w:val="1"/>
    <w:rsid w:val="00372FE3"/>
    <w:pPr>
      <w:tabs>
        <w:tab w:val="center" w:pos="4513"/>
        <w:tab w:val="right" w:pos="9026"/>
      </w:tabs>
      <w:spacing w:after="0" w:line="240" w:lineRule="auto"/>
    </w:pPr>
  </w:style>
  <w:style w:type="character" w:styleId="FooterChar" w:customStyle="1">
    <w:name w:val="Footer Char"/>
    <w:basedOn w:val="DefaultParagraphFont"/>
    <w:link w:val="Footer"/>
    <w:uiPriority w:val="99"/>
    <w:rsid w:val="00372FE3"/>
  </w:style>
  <w:style w:type="paragraph" w:styleId="FootnoteText">
    <w:name w:val="footnote text"/>
    <w:basedOn w:val="Normal"/>
    <w:link w:val="FootnoteTextChar"/>
    <w:uiPriority w:val="99"/>
    <w:semiHidden w:val="1"/>
    <w:unhideWhenUsed w:val="1"/>
    <w:rsid w:val="00372FE3"/>
    <w:pPr>
      <w:spacing w:after="0" w:line="240" w:lineRule="auto"/>
    </w:pPr>
    <w:rPr>
      <w:sz w:val="20"/>
      <w:szCs w:val="20"/>
    </w:rPr>
  </w:style>
  <w:style w:type="character" w:styleId="FootnoteTextChar" w:customStyle="1">
    <w:name w:val="Footnote Text Char"/>
    <w:basedOn w:val="DefaultParagraphFont"/>
    <w:link w:val="FootnoteText"/>
    <w:uiPriority w:val="99"/>
    <w:semiHidden w:val="1"/>
    <w:rsid w:val="00372FE3"/>
    <w:rPr>
      <w:sz w:val="20"/>
      <w:szCs w:val="20"/>
    </w:rPr>
  </w:style>
  <w:style w:type="character" w:styleId="FootnoteReference">
    <w:name w:val="footnote reference"/>
    <w:basedOn w:val="DefaultParagraphFont"/>
    <w:uiPriority w:val="99"/>
    <w:semiHidden w:val="1"/>
    <w:unhideWhenUsed w:val="1"/>
    <w:rsid w:val="00372FE3"/>
    <w:rPr>
      <w:vertAlign w:val="superscript"/>
    </w:rPr>
  </w:style>
  <w:style w:type="character" w:styleId="Hyperlink">
    <w:name w:val="Hyperlink"/>
    <w:basedOn w:val="DefaultParagraphFont"/>
    <w:uiPriority w:val="99"/>
    <w:unhideWhenUsed w:val="1"/>
    <w:rsid w:val="00372FE3"/>
    <w:rPr>
      <w:color w:val="0563c1" w:themeColor="hyperlink"/>
      <w:u w:val="single"/>
    </w:rPr>
  </w:style>
  <w:style w:type="character" w:styleId="UnresolvedMention" w:customStyle="1">
    <w:name w:val="Unresolved Mention"/>
    <w:basedOn w:val="DefaultParagraphFont"/>
    <w:uiPriority w:val="99"/>
    <w:semiHidden w:val="1"/>
    <w:unhideWhenUsed w:val="1"/>
    <w:rsid w:val="00372FE3"/>
    <w:rPr>
      <w:color w:val="605e5c"/>
      <w:shd w:color="auto" w:fill="e1dfdd" w:val="clear"/>
    </w:rPr>
  </w:style>
  <w:style w:type="paragraph" w:styleId="ListParagraph">
    <w:name w:val="List Paragraph"/>
    <w:basedOn w:val="Normal"/>
    <w:uiPriority w:val="34"/>
    <w:qFormat w:val="1"/>
    <w:rsid w:val="00C33980"/>
    <w:pPr>
      <w:ind w:left="720"/>
      <w:contextualSpacing w:val="1"/>
    </w:pPr>
  </w:style>
  <w:style w:type="paragraph" w:styleId="NormalWeb">
    <w:name w:val="Normal (Web)"/>
    <w:basedOn w:val="Normal"/>
    <w:uiPriority w:val="99"/>
    <w:semiHidden w:val="1"/>
    <w:unhideWhenUsed w:val="1"/>
    <w:rsid w:val="00F667E4"/>
    <w:pPr>
      <w:spacing w:after="100" w:afterAutospacing="1" w:before="100" w:beforeAutospacing="1" w:line="240" w:lineRule="auto"/>
    </w:pPr>
    <w:rPr>
      <w:rFonts w:ascii="Times New Roman" w:cs="Times New Roman" w:eastAsia="Times New Roman" w:hAnsi="Times New Roman"/>
      <w:sz w:val="24"/>
      <w:szCs w:val="24"/>
      <w:lang w:eastAsia="en-US" w:val="en-US"/>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10" Type="http://schemas.openxmlformats.org/officeDocument/2006/relationships/footer" Target="footer1.xml"/><Relationship Id="rId9" Type="http://schemas.openxmlformats.org/officeDocument/2006/relationships/hyperlink" Target="http://cronica.cimec.ro/detaliu.asp?k=1626" TargetMode="Externa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hyperlink" Target="https://amfostacolo.ro/impresii9.php?iid=97308&amp;d=manastirea-hotarani-hotarani--caracal"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footnotes.xml.rels><?xml version="1.0" encoding="UTF-8" standalone="yes"?><Relationships xmlns="http://schemas.openxmlformats.org/package/2006/relationships"><Relationship Id="rId1" Type="http://schemas.openxmlformats.org/officeDocument/2006/relationships/hyperlink" Target="https://amfostacolo.ro/impresii9.php?iid=97308&amp;d=manastirea-hotarani-hotarani--caracal" TargetMode="External"/><Relationship Id="rId2" Type="http://schemas.openxmlformats.org/officeDocument/2006/relationships/hyperlink" Target="http://cronica.cimec.ro/detaliu.asp?k=16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oiLcWbXFpIWNYDbksnImGyR27pA==">CgMxLjA4AHIhMWtiRmdHTE5OSU1Uem9SdW9TZmRrcHpsaDJJcmdKTnJv</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2023-10-29T19:26:00Z</dcterms:created>
  <dc:creator>Cristina Bunea</dc:creator>
</cp:coreProperties>
</file>