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left="-5" w:hanging="3.0000000000000004"/>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0002">
      <w:pPr>
        <w:spacing w:after="0" w:line="276" w:lineRule="auto"/>
        <w:ind w:left="-5" w:hanging="3.0000000000000004"/>
        <w:jc w:val="center"/>
        <w:rPr>
          <w:rFonts w:ascii="Arial" w:cs="Arial" w:eastAsia="Arial" w:hAnsi="Arial"/>
          <w:sz w:val="28"/>
          <w:szCs w:val="28"/>
          <w:highlight w:val="white"/>
        </w:rPr>
      </w:pPr>
      <w:r w:rsidDel="00000000" w:rsidR="00000000" w:rsidRPr="00000000">
        <w:rPr>
          <w:rFonts w:ascii="Arial" w:cs="Arial" w:eastAsia="Arial" w:hAnsi="Arial"/>
          <w:b w:val="1"/>
          <w:sz w:val="28"/>
          <w:szCs w:val="28"/>
          <w:highlight w:val="white"/>
          <w:rtl w:val="0"/>
        </w:rPr>
        <w:t xml:space="preserve">Texte plateforme</w:t>
      </w:r>
      <w:r w:rsidDel="00000000" w:rsidR="00000000" w:rsidRPr="00000000">
        <w:rPr>
          <w:rtl w:val="0"/>
        </w:rPr>
      </w:r>
    </w:p>
    <w:p w:rsidR="00000000" w:rsidDel="00000000" w:rsidP="00000000" w:rsidRDefault="00000000" w:rsidRPr="00000000" w14:paraId="00000003">
      <w:pPr>
        <w:spacing w:after="0" w:line="276" w:lineRule="auto"/>
        <w:ind w:left="-5" w:hanging="3.0000000000000004"/>
        <w:jc w:val="center"/>
        <w:rPr>
          <w:rFonts w:ascii="Arial" w:cs="Arial" w:eastAsia="Arial" w:hAnsi="Arial"/>
          <w:b w:val="1"/>
          <w:sz w:val="28"/>
          <w:szCs w:val="28"/>
        </w:rPr>
      </w:pPr>
      <w:r w:rsidDel="00000000" w:rsidR="00000000" w:rsidRPr="00000000">
        <w:rPr>
          <w:rFonts w:ascii="Arial" w:cs="Arial" w:eastAsia="Arial" w:hAnsi="Arial"/>
          <w:b w:val="1"/>
          <w:sz w:val="28"/>
          <w:szCs w:val="28"/>
          <w:highlight w:val="white"/>
          <w:rtl w:val="0"/>
        </w:rPr>
        <w:t xml:space="preserve">R3OB10 - </w:t>
      </w:r>
      <w:r w:rsidDel="00000000" w:rsidR="00000000" w:rsidRPr="00000000">
        <w:rPr>
          <w:rFonts w:ascii="Arial" w:cs="Arial" w:eastAsia="Arial" w:hAnsi="Arial"/>
          <w:b w:val="1"/>
          <w:sz w:val="28"/>
          <w:szCs w:val="28"/>
          <w:rtl w:val="0"/>
        </w:rPr>
        <w:t xml:space="preserve">Tour de Hotărani</w:t>
      </w:r>
    </w:p>
    <w:p w:rsidR="00000000" w:rsidDel="00000000" w:rsidP="00000000" w:rsidRDefault="00000000" w:rsidRPr="00000000" w14:paraId="00000004">
      <w:pPr>
        <w:spacing w:after="0" w:line="276" w:lineRule="auto"/>
        <w:ind w:left="-5" w:hanging="3.0000000000000004"/>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276"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Massive et austère, la tour médiévale de Hotărani domine majestueusement la plaine environnante. Depuis sa hauteur de 15,8 mètres, vos yeux peuvent scruter toute la vallée d'Olt. </w:t>
      </w:r>
    </w:p>
    <w:p w:rsidR="00000000" w:rsidDel="00000000" w:rsidP="00000000" w:rsidRDefault="00000000" w:rsidRPr="00000000" w14:paraId="00000007">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76"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Dans le passé, elle faisait partie d'un ensemble composé d'un monastère et d'une cour de boyard. Ces tours fortifiées ont été placées soit isolément, en tant qu'objectifs purement militaires, soit dans l'ensemble des monastères, en tant que tours de porte. Elles pouvaient également être intégrées dans l'église, mais en tant que structures séparées.</w:t>
      </w:r>
    </w:p>
    <w:p w:rsidR="00000000" w:rsidDel="00000000" w:rsidP="00000000" w:rsidRDefault="00000000" w:rsidRPr="00000000" w14:paraId="0000000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Près des murs de la tour, vous pouvez imaginer la garde du gardien et le son de la cloche, la terreur des villageois. C'est comme vous pouvez entendre leurs pas pressés, comme vous pouvez les voir courir vers la porte de la tour où ils sont sur le point de se cacher des ennemis. </w:t>
      </w:r>
    </w:p>
    <w:p w:rsidR="00000000" w:rsidDel="00000000" w:rsidP="00000000" w:rsidRDefault="00000000" w:rsidRPr="00000000" w14:paraId="0000000B">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salle des cloches située au dernier étage avait le rôle d'un lieu de garde et d'observation. De là, à travers les quatre ouvertures arquées, on pouvait voir tout ce qui bouge de tous les points cardinaux. Quand le gardien voyait le danger, il sonnait les cloches pour avertir la population de se mettre à l'abri. </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Avec une histoire riche, la tour a été témoin des événements politiques et culturels de l'époque. Restaurée, la Tour de Hotărani représente un joyau de notre patrimoine culturel et se retrouve actuellement en plein processus de restauration. Découvrez ce trésor caché et laissez-vous conquérir par son histoire.</w:t>
      </w:r>
    </w:p>
    <w:p w:rsidR="00000000" w:rsidDel="00000000" w:rsidP="00000000" w:rsidRDefault="00000000" w:rsidRPr="00000000" w14:paraId="0000000D">
      <w:pPr>
        <w:spacing w:after="0" w:line="276" w:lineRule="auto"/>
        <w:jc w:val="both"/>
        <w:rPr>
          <w:rFonts w:ascii="Arial" w:cs="Arial" w:eastAsia="Arial" w:hAnsi="Arial"/>
          <w:i w:val="1"/>
          <w:color w:val="333333"/>
          <w:sz w:val="24"/>
          <w:szCs w:val="24"/>
          <w:highlight w:val="white"/>
        </w:rPr>
      </w:pPr>
      <w:r w:rsidDel="00000000" w:rsidR="00000000" w:rsidRPr="00000000">
        <w:rPr>
          <w:rFonts w:ascii="Arial" w:cs="Arial" w:eastAsia="Arial" w:hAnsi="Arial"/>
          <w:b w:val="1"/>
          <w:i w:val="1"/>
          <w:sz w:val="24"/>
          <w:szCs w:val="24"/>
          <w:rtl w:val="0"/>
        </w:rPr>
        <w:t xml:space="preserve">Bref aperçu historique</w:t>
      </w:r>
      <w:r w:rsidDel="00000000" w:rsidR="00000000" w:rsidRPr="00000000">
        <w:rPr>
          <w:rtl w:val="0"/>
        </w:rPr>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jc w:val="both"/>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À Hotărani, on a découvert des vestiges des tribus thraces du Danube du Nord de l'âge du fer, y compris du premier âge du fer de Hallstatt et du second âge du fer de La Tène. Durant ces périodes, l'agriculture géto-dace atteignait un haut niveau de développement.</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jc w:val="both"/>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Sur l'inscription gravée en langue grecque sur le mur de la tour, il est mentionné que « cette tour a été érigée par la contribution et les dépenses de l'homme de grand esprit M. Neagoe voïvode de Valachie en 7028 (1520) ».</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jc w:val="both"/>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jc w:val="both"/>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Personnalités marquantes</w:t>
      </w:r>
    </w:p>
    <w:p w:rsidR="00000000" w:rsidDel="00000000" w:rsidP="00000000" w:rsidRDefault="00000000" w:rsidRPr="00000000" w14:paraId="00000012">
      <w:pPr>
        <w:spacing w:after="0" w:line="276"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grand intendant Mitrea (Dumitru), le fondateur du Monastère Hotărani, est l'une des personnalités politiques de premier plan de la seconde moitié du XVI</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siècle. Étant apparenté au Mihnea Turcitul, le souverain de Valachie, il apporta le drapeau de celui-ci, tout en jouissant du titre de grand intendant en échange.</w:t>
      </w:r>
    </w:p>
    <w:p w:rsidR="00000000" w:rsidDel="00000000" w:rsidP="00000000" w:rsidRDefault="00000000" w:rsidRPr="00000000" w14:paraId="00000013">
      <w:pPr>
        <w:spacing w:after="0" w:line="276" w:lineRule="auto"/>
        <w:ind w:firstLine="8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ind w:firstLine="72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Expériences uniques</w:t>
      </w:r>
    </w:p>
    <w:p w:rsidR="00000000" w:rsidDel="00000000" w:rsidP="00000000" w:rsidRDefault="00000000" w:rsidRPr="00000000" w14:paraId="00000016">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 quittez pas le village avant de visiter l'église de Hotărani, bâtie en 1588 sur les ruines d'un village romain, une banlieue de l'ancienne ville de Romula. Ne contourner pas non plus la Maison commémorative Nicolae Titulescu, la résidence d'été de la famille de l'illustre diplomate roumain.</w:t>
      </w:r>
    </w:p>
    <w:p w:rsidR="00000000" w:rsidDel="00000000" w:rsidP="00000000" w:rsidRDefault="00000000" w:rsidRPr="00000000" w14:paraId="00000017">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À seulement 30 minutes en voiture, vous pourrez visiter la tour de défense Calețeanu à Enoșești, près de Piatra-Olt. Elle a été bâtie par le boyard Călețeanu, ancien enseigne de l'armée de Tudor Vladimirescu, sur le site où se trouvait le castrum romain Acidava.</w:t>
      </w:r>
    </w:p>
    <w:p w:rsidR="00000000" w:rsidDel="00000000" w:rsidP="00000000" w:rsidRDefault="00000000" w:rsidRPr="00000000" w14:paraId="00000018">
      <w:pPr>
        <w:spacing w:after="0" w:line="276" w:lineRule="auto"/>
        <w:rPr>
          <w:rFonts w:ascii="Arial" w:cs="Arial" w:eastAsia="Arial" w:hAnsi="Arial"/>
          <w:color w:val="1c4587"/>
        </w:rPr>
      </w:pPr>
      <w:bookmarkStart w:colFirst="0" w:colLast="0" w:name="_heading=h.3as4poj" w:id="0"/>
      <w:bookmarkEnd w:id="0"/>
      <w:r w:rsidDel="00000000" w:rsidR="00000000" w:rsidRPr="00000000">
        <w:br w:type="page"/>
      </w:r>
      <w:r w:rsidDel="00000000" w:rsidR="00000000" w:rsidRPr="00000000">
        <w:rPr>
          <w:rtl w:val="0"/>
        </w:rPr>
      </w:r>
    </w:p>
    <w:p w:rsidR="00000000" w:rsidDel="00000000" w:rsidP="00000000" w:rsidRDefault="00000000" w:rsidRPr="00000000" w14:paraId="00000019">
      <w:pPr>
        <w:ind w:firstLine="720"/>
        <w:jc w:val="both"/>
        <w:rPr>
          <w:rFonts w:ascii="Arial" w:cs="Arial" w:eastAsia="Arial" w:hAnsi="Arial"/>
          <w:b w:val="1"/>
          <w:sz w:val="28"/>
          <w:szCs w:val="28"/>
          <w:highlight w:val="white"/>
        </w:rPr>
      </w:pPr>
      <w:r w:rsidDel="00000000" w:rsidR="00000000" w:rsidRPr="00000000">
        <w:rPr>
          <w:rtl w:val="0"/>
        </w:rPr>
      </w:r>
    </w:p>
    <w:sectPr>
      <w:footerReference r:id="rId7" w:type="default"/>
      <w:pgSz w:h="16838" w:w="11906" w:orient="portrait"/>
      <w:pgMar w:bottom="1843"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jnfGBs4qh4TnBd7Kti2jHbCNTw==">CgMxLjAyCWguM2FzNHBvajgAciExVktKSC14bmlTbDRiOTcyY3pNSlFIbHhkSVJFdTZXSWI=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